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DBD00"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hint="default" w:eastAsia="宋体" w:cs="Arial"/>
          <w:sz w:val="24"/>
          <w:szCs w:val="24"/>
          <w:lang w:val="en-US" w:eastAsia="zh-CN"/>
        </w:rPr>
      </w:pPr>
      <w:bookmarkStart w:id="0" w:name="Title"/>
      <w:bookmarkEnd w:id="0"/>
      <w:bookmarkStart w:id="1" w:name="OLE_LINK1"/>
      <w:r>
        <w:rPr>
          <w:rFonts w:cs="Arial"/>
          <w:sz w:val="24"/>
          <w:szCs w:val="24"/>
          <w:lang w:val="en-US"/>
        </w:rPr>
        <w:t>3GPP TSG-RAN WG4 Meeting #11</w:t>
      </w:r>
      <w:r>
        <w:rPr>
          <w:rFonts w:hint="eastAsia" w:cs="Arial"/>
          <w:sz w:val="24"/>
          <w:szCs w:val="24"/>
          <w:lang w:val="en-US" w:eastAsia="zh-CN"/>
        </w:rPr>
        <w:t xml:space="preserve">8                                                              </w:t>
      </w:r>
      <w:bookmarkStart w:id="2" w:name="_GoBack"/>
      <w:bookmarkEnd w:id="2"/>
      <w:r>
        <w:rPr>
          <w:rFonts w:cs="Arial"/>
          <w:sz w:val="24"/>
          <w:szCs w:val="24"/>
          <w:lang w:val="en-US"/>
        </w:rPr>
        <w:fldChar w:fldCharType="begin"/>
      </w:r>
      <w:r>
        <w:rPr>
          <w:rFonts w:cs="Arial"/>
          <w:sz w:val="24"/>
          <w:szCs w:val="24"/>
          <w:lang w:val="en-US"/>
        </w:rPr>
        <w:instrText xml:space="preserve"> HYPERLINK "http://10.10.10.10/ftp/RAN/RAN4/Inbox/R4-2514624.zip" </w:instrText>
      </w:r>
      <w:r>
        <w:rPr>
          <w:rFonts w:cs="Arial"/>
          <w:sz w:val="24"/>
          <w:szCs w:val="24"/>
          <w:lang w:val="en-US"/>
        </w:rPr>
        <w:fldChar w:fldCharType="separate"/>
      </w:r>
      <w:r>
        <w:rPr>
          <w:rFonts w:cs="Arial"/>
          <w:sz w:val="24"/>
          <w:szCs w:val="24"/>
          <w:lang w:val="en-US"/>
        </w:rPr>
        <w:t>R4-2</w:t>
      </w:r>
      <w:r>
        <w:rPr>
          <w:rFonts w:hint="eastAsia" w:cs="Arial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val="en-US"/>
        </w:rPr>
        <w:fldChar w:fldCharType="end"/>
      </w:r>
      <w:r>
        <w:rPr>
          <w:rFonts w:hint="eastAsia" w:cs="Arial"/>
          <w:sz w:val="24"/>
          <w:szCs w:val="24"/>
          <w:lang w:val="en-US" w:eastAsia="zh-CN"/>
        </w:rPr>
        <w:t>00843</w:t>
      </w:r>
    </w:p>
    <w:p w14:paraId="59287F3E"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hint="eastAsia" w:eastAsia="宋体" w:cs="Arial"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Gothenburg, Sweden, Feb. 09-13</w:t>
      </w:r>
      <w:r>
        <w:rPr>
          <w:rFonts w:cs="Arial"/>
          <w:sz w:val="24"/>
          <w:szCs w:val="24"/>
          <w:lang w:val="en-US"/>
        </w:rPr>
        <w:t>, 202</w:t>
      </w:r>
      <w:r>
        <w:rPr>
          <w:rFonts w:hint="eastAsia" w:cs="Arial"/>
          <w:sz w:val="24"/>
          <w:szCs w:val="24"/>
          <w:lang w:val="en-US" w:eastAsia="zh-CN"/>
        </w:rPr>
        <w:t>6</w:t>
      </w:r>
    </w:p>
    <w:bookmarkEnd w:id="1"/>
    <w:p w14:paraId="01A649FD">
      <w:pPr>
        <w:spacing w:after="120"/>
        <w:ind w:left="1985" w:hanging="1985"/>
        <w:rPr>
          <w:rFonts w:ascii="Arial" w:hAnsi="Arial" w:eastAsia="MS Mincho" w:cs="Arial"/>
          <w:bCs/>
          <w:sz w:val="22"/>
        </w:rPr>
      </w:pPr>
    </w:p>
    <w:p w14:paraId="637127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 w:eastAsiaTheme="minorEastAsia"/>
          <w:bCs/>
          <w:color w:val="000000"/>
          <w:sz w:val="22"/>
        </w:rPr>
      </w:pPr>
      <w:r>
        <w:rPr>
          <w:rFonts w:ascii="Arial" w:hAnsi="Arial" w:eastAsia="MS Mincho" w:cs="Arial"/>
          <w:b/>
          <w:color w:val="000000"/>
          <w:sz w:val="22"/>
        </w:rPr>
        <w:t>Agenda item: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eastAsia="MS Mincho" w:cs="Arial"/>
          <w:bCs/>
          <w:color w:val="000000"/>
          <w:sz w:val="22"/>
          <w:lang w:eastAsia="ja-JP"/>
        </w:rPr>
        <w:tab/>
      </w:r>
      <w:r>
        <w:rPr>
          <w:rFonts w:ascii="Arial" w:hAnsi="Arial" w:eastAsia="MS Mincho" w:cs="Arial"/>
          <w:bCs/>
          <w:color w:val="000000"/>
          <w:sz w:val="22"/>
          <w:lang w:eastAsia="ja-JP"/>
        </w:rPr>
        <w:tab/>
      </w:r>
      <w:r>
        <w:rPr>
          <w:rFonts w:ascii="Arial" w:hAnsi="Arial" w:cs="Arial" w:eastAsiaTheme="minorEastAsia"/>
          <w:bCs/>
          <w:color w:val="000000"/>
          <w:sz w:val="22"/>
        </w:rPr>
        <w:t>8.1</w:t>
      </w:r>
    </w:p>
    <w:p w14:paraId="0715B812">
      <w:pPr>
        <w:spacing w:after="120"/>
        <w:ind w:left="1985" w:hanging="1985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Cs/>
          <w:sz w:val="22"/>
        </w:rPr>
        <w:tab/>
      </w:r>
      <w:r>
        <w:rPr>
          <w:rFonts w:ascii="Arial" w:hAnsi="Arial" w:cs="Arial"/>
          <w:bCs/>
          <w:color w:val="000000"/>
          <w:sz w:val="22"/>
        </w:rPr>
        <w:t>Feature lead (</w:t>
      </w:r>
      <w:r>
        <w:rPr>
          <w:rFonts w:hint="eastAsia" w:ascii="Arial" w:hAnsi="Arial" w:eastAsia="宋体" w:cs="Arial"/>
          <w:bCs/>
          <w:color w:val="000000"/>
          <w:sz w:val="22"/>
          <w:lang w:val="en-US" w:eastAsia="zh-CN"/>
        </w:rPr>
        <w:t>CMCC</w:t>
      </w:r>
      <w:r>
        <w:rPr>
          <w:rFonts w:ascii="Arial" w:hAnsi="Arial" w:cs="Arial"/>
          <w:bCs/>
          <w:color w:val="000000"/>
          <w:sz w:val="22"/>
        </w:rPr>
        <w:t>)</w:t>
      </w:r>
    </w:p>
    <w:p w14:paraId="67434AFA">
      <w:pPr>
        <w:spacing w:after="120"/>
        <w:ind w:left="1985" w:hanging="1985"/>
        <w:rPr>
          <w:rFonts w:hint="default"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Cs/>
          <w:color w:val="000000"/>
          <w:sz w:val="22"/>
        </w:rPr>
        <w:tab/>
      </w:r>
      <w:r>
        <w:rPr>
          <w:rFonts w:ascii="Arial" w:hAnsi="Arial" w:cs="Arial" w:eastAsiaTheme="minorEastAsia"/>
          <w:bCs/>
          <w:color w:val="000000"/>
          <w:sz w:val="22"/>
        </w:rPr>
        <w:t xml:space="preserve">Running summary of </w:t>
      </w:r>
      <w:r>
        <w:rPr>
          <w:rFonts w:hint="eastAsia" w:ascii="Arial" w:hAnsi="Arial" w:cs="Arial" w:eastAsiaTheme="minorEastAsia"/>
          <w:bCs/>
          <w:color w:val="000000"/>
          <w:sz w:val="22"/>
          <w:lang w:val="en-US" w:eastAsia="zh-CN"/>
        </w:rPr>
        <w:t>spectrum sharing after RAN4#117</w:t>
      </w:r>
    </w:p>
    <w:p w14:paraId="0E81DCE7">
      <w:pPr>
        <w:spacing w:after="120"/>
        <w:ind w:left="1985" w:hanging="1985"/>
        <w:rPr>
          <w:rFonts w:ascii="Arial" w:hAnsi="Arial" w:cs="Arial" w:eastAsiaTheme="minorEastAsia"/>
          <w:bCs/>
          <w:sz w:val="22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Cs/>
          <w:color w:val="000000"/>
          <w:sz w:val="22"/>
        </w:rPr>
        <w:tab/>
      </w:r>
      <w:r>
        <w:rPr>
          <w:rFonts w:ascii="Arial" w:hAnsi="Arial" w:cs="Arial" w:eastAsiaTheme="minorEastAsia"/>
          <w:bCs/>
          <w:color w:val="000000"/>
          <w:sz w:val="22"/>
        </w:rPr>
        <w:t>Information</w:t>
      </w:r>
    </w:p>
    <w:p w14:paraId="35F10A5F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>Introduction</w:t>
      </w:r>
    </w:p>
    <w:p w14:paraId="6FAC6A91">
      <w:pPr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In RAN #1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10</w:t>
      </w:r>
      <w:r>
        <w:rPr>
          <w:rFonts w:hint="default" w:ascii="Arial" w:hAnsi="Arial" w:cs="Arial"/>
          <w:sz w:val="22"/>
          <w:szCs w:val="22"/>
        </w:rPr>
        <w:t xml:space="preserve"> meeting, the revised SID of study on 6G Radio was agreed [RP-25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3876</w:t>
      </w:r>
      <w:r>
        <w:rPr>
          <w:rFonts w:hint="default" w:ascii="Arial" w:hAnsi="Arial" w:cs="Arial"/>
          <w:sz w:val="22"/>
          <w:szCs w:val="22"/>
        </w:rPr>
        <w:t xml:space="preserve">], and the </w:t>
      </w:r>
      <w:r>
        <w:rPr>
          <w:rFonts w:hint="default" w:ascii="Arial" w:hAnsi="Arial" w:eastAsia="宋体" w:cs="Arial"/>
          <w:sz w:val="22"/>
          <w:szCs w:val="22"/>
        </w:rPr>
        <w:t>s</w:t>
      </w:r>
      <w:r>
        <w:rPr>
          <w:rFonts w:hint="default" w:ascii="Arial" w:hAnsi="Arial" w:eastAsia="Yu Mincho" w:cs="Arial"/>
          <w:sz w:val="22"/>
          <w:szCs w:val="22"/>
        </w:rPr>
        <w:t>pectrum sharing</w:t>
      </w:r>
      <w:r>
        <w:rPr>
          <w:rFonts w:hint="default" w:ascii="Arial" w:hAnsi="Arial" w:cs="Arial"/>
          <w:sz w:val="22"/>
          <w:szCs w:val="22"/>
        </w:rPr>
        <w:t xml:space="preserve"> related scopes were </w:t>
      </w:r>
      <w:r>
        <w:rPr>
          <w:rFonts w:hint="default" w:ascii="Arial" w:hAnsi="Arial" w:eastAsia="宋体" w:cs="Arial"/>
          <w:sz w:val="22"/>
          <w:szCs w:val="22"/>
          <w:lang w:val="en-US" w:eastAsia="zh-CN"/>
        </w:rPr>
        <w:t>duplicated</w:t>
      </w:r>
      <w:r>
        <w:rPr>
          <w:rFonts w:hint="default" w:ascii="Arial" w:hAnsi="Arial" w:cs="Arial"/>
          <w:sz w:val="22"/>
          <w:szCs w:val="22"/>
        </w:rPr>
        <w:t xml:space="preserve"> as follows:</w:t>
      </w:r>
    </w:p>
    <w:p w14:paraId="3E02DE65">
      <w:pPr>
        <w:jc w:val="both"/>
        <w:rPr>
          <w:rFonts w:hint="default" w:ascii="Arial" w:hAnsi="Arial" w:cs="Arial"/>
          <w:sz w:val="22"/>
          <w:szCs w:val="22"/>
        </w:rPr>
      </w:pP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5CE0A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 w14:paraId="5FAC150B">
            <w:pPr>
              <w:pStyle w:val="150"/>
              <w:numPr>
                <w:ilvl w:val="0"/>
                <w:numId w:val="0"/>
              </w:numPr>
              <w:spacing w:after="120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(7) 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Migration from 5G NR to 6GR as well as interworking and mobility between 5G NR and 6GR:</w:t>
            </w:r>
          </w:p>
          <w:p w14:paraId="67B02614">
            <w:pPr>
              <w:pStyle w:val="150"/>
              <w:numPr>
                <w:ilvl w:val="0"/>
                <w:numId w:val="6"/>
              </w:numPr>
              <w:spacing w:after="120"/>
              <w:ind w:left="720" w:leftChars="0" w:firstLine="0" w:firstLineChars="0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5G-6G Multi-RAT Spectrum Sharing for migration [RAN1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RAN2, RAN4, RAN3]</w:t>
            </w:r>
          </w:p>
          <w:p w14:paraId="6BB1BA5C">
            <w:pPr>
              <w:pStyle w:val="150"/>
              <w:numPr>
                <w:ilvl w:val="0"/>
                <w:numId w:val="6"/>
              </w:numPr>
              <w:spacing w:after="120"/>
              <w:ind w:left="720" w:leftChars="0" w:firstLine="0" w:firstLineChars="0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Study if any additional 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migration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option(s)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is 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needed (other than standalone, MRSS, and inter-RAT mobility between NR-6G)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 [RAN] [RAN2, RAN1, RAN3, RAN4]</w:t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RAN plenary starts this study in March 2026 and will make a decision by September 2026 whether to expand WG SI scope to cover additional migration option(s).</w:t>
            </w:r>
          </w:p>
          <w:p w14:paraId="7584FE0C">
            <w:pPr>
              <w:pStyle w:val="150"/>
              <w:numPr>
                <w:ilvl w:val="0"/>
                <w:numId w:val="6"/>
              </w:numPr>
              <w:spacing w:after="120"/>
              <w:ind w:left="720" w:leftChars="0" w:firstLine="0" w:firstLineChars="0"/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Mobility between 5G NR and 6GR [RAN2, RAN3, RAN4]</w:t>
            </w:r>
          </w:p>
          <w:p w14:paraId="222FAA7A">
            <w:pPr>
              <w:overflowPunct w:val="0"/>
              <w:autoSpaceDE w:val="0"/>
              <w:autoSpaceDN w:val="0"/>
              <w:adjustRightInd w:val="0"/>
              <w:spacing w:after="120"/>
              <w:ind w:left="511" w:leftChars="213"/>
              <w:textAlignment w:val="baseline"/>
              <w:rPr>
                <w:rFonts w:hint="default" w:ascii="Arial" w:hAnsi="Arial" w:cs="Arial"/>
                <w:sz w:val="22"/>
                <w:szCs w:val="22"/>
                <w:highlight w:val="yellow"/>
                <w:vertAlign w:val="baseline"/>
                <w:lang w:eastAsia="en-US"/>
              </w:rPr>
            </w:pPr>
            <w:r>
              <w:rPr>
                <w:rFonts w:hint="default" w:ascii="Arial" w:hAnsi="Arial" w:cs="Arial"/>
                <w:color w:val="000000" w:themeColor="text1"/>
                <w:sz w:val="22"/>
                <w:szCs w:val="22"/>
                <w:lang w:eastAsia="ja-JP"/>
                <w14:textFill>
                  <w14:solidFill>
                    <w14:schemeClr w14:val="tx1"/>
                  </w14:solidFill>
                </w14:textFill>
              </w:rPr>
              <w:t>Note: Inclusion of LTE/6G interworking/coexistence aspects may be further discussed based on the requirement from RAN plenary</w:t>
            </w:r>
          </w:p>
        </w:tc>
      </w:tr>
    </w:tbl>
    <w:p w14:paraId="6F2DD132">
      <w:pPr>
        <w:rPr>
          <w:rFonts w:hint="default" w:ascii="Arial" w:hAnsi="Arial" w:cs="Arial"/>
          <w:sz w:val="22"/>
          <w:szCs w:val="22"/>
          <w:highlight w:val="yellow"/>
          <w:lang w:eastAsia="en-US"/>
        </w:rPr>
      </w:pPr>
    </w:p>
    <w:p w14:paraId="4DDD70E6">
      <w:pPr>
        <w:spacing w:before="60" w:after="6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In this running summary, the following information is captured for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s</w:t>
      </w:r>
      <w:r>
        <w:rPr>
          <w:rFonts w:hint="default" w:ascii="Arial" w:hAnsi="Arial" w:eastAsia="宋体" w:cs="Arial"/>
          <w:sz w:val="22"/>
          <w:szCs w:val="22"/>
          <w:lang w:val="en-US" w:eastAsia="zh-CN"/>
        </w:rPr>
        <w:t>pectrum sharing</w:t>
      </w:r>
      <w:r>
        <w:rPr>
          <w:rFonts w:hint="default" w:ascii="Arial" w:hAnsi="Arial" w:cs="Arial"/>
          <w:sz w:val="22"/>
          <w:szCs w:val="22"/>
        </w:rPr>
        <w:t xml:space="preserve"> study: </w:t>
      </w:r>
    </w:p>
    <w:p w14:paraId="664DCE0C">
      <w:pPr>
        <w:pStyle w:val="150"/>
        <w:numPr>
          <w:ilvl w:val="0"/>
          <w:numId w:val="7"/>
        </w:numPr>
        <w:spacing w:after="180"/>
        <w:ind w:firstLineChars="0"/>
        <w:rPr>
          <w:rFonts w:hint="default" w:ascii="Arial" w:hAnsi="Arial" w:eastAsia="Batang" w:cs="Arial"/>
          <w:sz w:val="22"/>
          <w:szCs w:val="22"/>
        </w:rPr>
      </w:pPr>
      <w:r>
        <w:rPr>
          <w:rFonts w:hint="default" w:ascii="Arial" w:hAnsi="Arial" w:eastAsia="Batang" w:cs="Arial"/>
          <w:sz w:val="22"/>
          <w:szCs w:val="22"/>
        </w:rPr>
        <w:t xml:space="preserve">The key RAN4 agreements and tdocs from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previous</w:t>
      </w:r>
      <w:r>
        <w:rPr>
          <w:rFonts w:hint="default" w:ascii="Arial" w:hAnsi="Arial" w:eastAsia="Batang" w:cs="Arial"/>
          <w:sz w:val="22"/>
          <w:szCs w:val="22"/>
        </w:rPr>
        <w:t xml:space="preserve"> RAN4 meeting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s</w:t>
      </w:r>
      <w:r>
        <w:rPr>
          <w:rFonts w:hint="default" w:ascii="Arial" w:hAnsi="Arial" w:eastAsia="Batang" w:cs="Arial"/>
          <w:sz w:val="22"/>
          <w:szCs w:val="22"/>
        </w:rPr>
        <w:t>, including topic summary, WF.</w:t>
      </w:r>
    </w:p>
    <w:p w14:paraId="1ACF9C5F">
      <w:pPr>
        <w:pStyle w:val="150"/>
        <w:numPr>
          <w:ilvl w:val="0"/>
          <w:numId w:val="7"/>
        </w:numPr>
        <w:spacing w:after="180"/>
        <w:ind w:firstLineChars="0"/>
        <w:rPr>
          <w:rFonts w:hint="default" w:ascii="Arial" w:hAnsi="Arial" w:eastAsia="Batang" w:cs="Arial"/>
          <w:sz w:val="22"/>
          <w:szCs w:val="22"/>
        </w:rPr>
      </w:pPr>
      <w:r>
        <w:rPr>
          <w:rFonts w:hint="default" w:ascii="Arial" w:hAnsi="Arial" w:eastAsia="Batang" w:cs="Arial"/>
          <w:sz w:val="22"/>
          <w:szCs w:val="22"/>
        </w:rPr>
        <w:t xml:space="preserve"> </w:t>
      </w:r>
      <w:r>
        <w:rPr>
          <w:rFonts w:hint="default" w:ascii="Arial" w:hAnsi="Arial" w:eastAsia="宋体" w:cs="Arial"/>
          <w:sz w:val="22"/>
          <w:szCs w:val="22"/>
          <w:lang w:val="en-US" w:eastAsia="zh-CN"/>
        </w:rPr>
        <w:t>Spectrum sharing</w:t>
      </w:r>
      <w:r>
        <w:rPr>
          <w:rFonts w:hint="default" w:ascii="Arial" w:hAnsi="Arial" w:eastAsia="Batang" w:cs="Arial"/>
          <w:sz w:val="22"/>
          <w:szCs w:val="22"/>
        </w:rPr>
        <w:t xml:space="preserve"> related agreements summary from RAN1</w:t>
      </w:r>
      <w:r>
        <w:rPr>
          <w:rFonts w:hint="default" w:ascii="Arial" w:hAnsi="Arial" w:eastAsia="宋体" w:cs="Arial"/>
          <w:sz w:val="22"/>
          <w:szCs w:val="22"/>
          <w:lang w:val="en-US" w:eastAsia="zh-CN"/>
        </w:rPr>
        <w:t>/RAN2</w:t>
      </w:r>
    </w:p>
    <w:p w14:paraId="3DE7F098">
      <w:pPr>
        <w:rPr>
          <w:rFonts w:hint="default" w:ascii="Arial" w:hAnsi="Arial" w:cs="Arial"/>
          <w:sz w:val="22"/>
          <w:szCs w:val="22"/>
          <w:highlight w:val="yellow"/>
          <w:lang w:eastAsia="en-US"/>
        </w:rPr>
      </w:pPr>
    </w:p>
    <w:p w14:paraId="5E40E151">
      <w:pPr>
        <w:spacing w:before="60" w:after="6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The information of feature lead for </w:t>
      </w:r>
      <w:r>
        <w:rPr>
          <w:rFonts w:hint="default" w:ascii="Arial" w:hAnsi="Arial" w:eastAsia="宋体" w:cs="Arial"/>
          <w:sz w:val="22"/>
          <w:szCs w:val="22"/>
          <w:lang w:val="en-US" w:eastAsia="zh-CN"/>
        </w:rPr>
        <w:t>spectrum sharing</w:t>
      </w:r>
      <w:r>
        <w:rPr>
          <w:rFonts w:hint="default" w:ascii="Arial" w:hAnsi="Arial" w:cs="Arial"/>
          <w:sz w:val="22"/>
          <w:szCs w:val="22"/>
        </w:rPr>
        <w:t xml:space="preserve"> is attached below.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5"/>
        <w:gridCol w:w="2880"/>
        <w:gridCol w:w="4146"/>
      </w:tblGrid>
      <w:tr w14:paraId="7669F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</w:tcPr>
          <w:p w14:paraId="68295E5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sz w:val="22"/>
                <w:szCs w:val="22"/>
              </w:rPr>
              <w:t>Feature Lead</w:t>
            </w:r>
          </w:p>
        </w:tc>
        <w:tc>
          <w:tcPr>
            <w:tcW w:w="2880" w:type="dxa"/>
          </w:tcPr>
          <w:p w14:paraId="16146C8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sz w:val="22"/>
                <w:szCs w:val="22"/>
              </w:rPr>
              <w:t>Affiliation</w:t>
            </w:r>
          </w:p>
        </w:tc>
        <w:tc>
          <w:tcPr>
            <w:tcW w:w="4146" w:type="dxa"/>
          </w:tcPr>
          <w:p w14:paraId="2894FAE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bCs/>
                <w:sz w:val="22"/>
                <w:szCs w:val="22"/>
              </w:rPr>
              <w:t>Email</w:t>
            </w:r>
          </w:p>
        </w:tc>
      </w:tr>
      <w:tr w14:paraId="680BD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</w:tcPr>
          <w:p w14:paraId="5AB5723C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Jingjing CHEN</w:t>
            </w:r>
          </w:p>
        </w:tc>
        <w:tc>
          <w:tcPr>
            <w:tcW w:w="2880" w:type="dxa"/>
          </w:tcPr>
          <w:p w14:paraId="7DEC3C16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CMCC</w:t>
            </w:r>
          </w:p>
        </w:tc>
        <w:tc>
          <w:tcPr>
            <w:tcW w:w="4146" w:type="dxa"/>
          </w:tcPr>
          <w:p w14:paraId="6ACA2574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chenjingjing</w:t>
            </w:r>
            <w:r>
              <w:rPr>
                <w:rFonts w:hint="default" w:ascii="Arial" w:hAnsi="Arial" w:cs="Arial"/>
                <w:sz w:val="22"/>
                <w:szCs w:val="22"/>
              </w:rPr>
              <w:t>@</w:t>
            </w: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chinamobile</w:t>
            </w:r>
            <w:r>
              <w:rPr>
                <w:rFonts w:hint="default" w:ascii="Arial" w:hAnsi="Arial" w:cs="Arial"/>
                <w:sz w:val="22"/>
                <w:szCs w:val="22"/>
              </w:rPr>
              <w:t>.com</w:t>
            </w:r>
          </w:p>
        </w:tc>
      </w:tr>
    </w:tbl>
    <w:p w14:paraId="293CAE0E">
      <w:pPr>
        <w:rPr>
          <w:sz w:val="22"/>
          <w:szCs w:val="22"/>
          <w:highlight w:val="yellow"/>
          <w:lang w:eastAsia="en-US"/>
        </w:rPr>
      </w:pPr>
    </w:p>
    <w:p w14:paraId="2147C1B1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>Status update</w:t>
      </w:r>
    </w:p>
    <w:p w14:paraId="7F7586A8">
      <w:pPr>
        <w:rPr>
          <w:rFonts w:hint="default" w:ascii="Arial" w:hAnsi="Arial" w:cs="Arial"/>
          <w:sz w:val="22"/>
          <w:szCs w:val="22"/>
          <w:lang w:val="en-GB"/>
        </w:rPr>
      </w:pPr>
      <w:r>
        <w:rPr>
          <w:rFonts w:hint="eastAsia" w:ascii="Arial" w:hAnsi="Arial" w:eastAsia="宋体" w:cs="Arial"/>
          <w:sz w:val="22"/>
          <w:szCs w:val="22"/>
          <w:lang w:val="en-US" w:eastAsia="zh-CN"/>
        </w:rPr>
        <w:t>Following table</w:t>
      </w:r>
      <w:r>
        <w:rPr>
          <w:rFonts w:hint="default" w:ascii="Arial" w:hAnsi="Arial" w:cs="Arial"/>
          <w:sz w:val="22"/>
          <w:szCs w:val="22"/>
          <w:lang w:val="en-GB"/>
        </w:rPr>
        <w:t xml:space="preserve"> is an abbreviated overview of the issues discussed under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spectrum sharing in RAN4</w:t>
      </w:r>
      <w:r>
        <w:rPr>
          <w:rFonts w:hint="default" w:ascii="Arial" w:hAnsi="Arial" w:cs="Arial"/>
          <w:sz w:val="22"/>
          <w:szCs w:val="22"/>
          <w:lang w:val="en-GB"/>
        </w:rPr>
        <w:t xml:space="preserve">. </w:t>
      </w:r>
    </w:p>
    <w:p w14:paraId="26394EF1">
      <w:pPr>
        <w:rPr>
          <w:rFonts w:hint="default" w:ascii="Arial" w:hAnsi="Arial" w:cs="Arial"/>
          <w:sz w:val="22"/>
          <w:szCs w:val="22"/>
          <w:lang w:val="en-GB" w:eastAsia="en-US"/>
        </w:rPr>
      </w:pPr>
    </w:p>
    <w:tbl>
      <w:tblPr>
        <w:tblStyle w:val="50"/>
        <w:tblW w:w="7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7"/>
        <w:gridCol w:w="2809"/>
        <w:gridCol w:w="2824"/>
      </w:tblGrid>
      <w:tr w14:paraId="2B0EB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6" w:type="dxa"/>
            <w:gridSpan w:val="2"/>
            <w:shd w:val="clear" w:color="auto" w:fill="D8D8D8" w:themeFill="background1" w:themeFillShade="D9"/>
          </w:tcPr>
          <w:p w14:paraId="3AEF961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b/>
                <w:bCs/>
                <w:sz w:val="22"/>
                <w:szCs w:val="22"/>
                <w:lang w:val="en-GB"/>
              </w:rPr>
              <w:t>Issue</w:t>
            </w:r>
          </w:p>
        </w:tc>
        <w:tc>
          <w:tcPr>
            <w:tcW w:w="2824" w:type="dxa"/>
            <w:shd w:val="clear" w:color="auto" w:fill="D8D8D8" w:themeFill="background1" w:themeFillShade="D9"/>
          </w:tcPr>
          <w:p w14:paraId="7FCB086A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b/>
                <w:bCs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b/>
                <w:bCs/>
                <w:sz w:val="22"/>
                <w:szCs w:val="22"/>
                <w:lang w:val="en-GB"/>
              </w:rPr>
              <w:t>Issue Status</w:t>
            </w:r>
          </w:p>
        </w:tc>
      </w:tr>
      <w:tr w14:paraId="06B1B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87" w:type="dxa"/>
          </w:tcPr>
          <w:p w14:paraId="02373AF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General aspects</w:t>
            </w:r>
          </w:p>
        </w:tc>
        <w:tc>
          <w:tcPr>
            <w:tcW w:w="2809" w:type="dxa"/>
          </w:tcPr>
          <w:p w14:paraId="6E41DF5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 xml:space="preserve">Including migration scheme, 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 xml:space="preserve"> 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s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cenarios for MRSS between 6GR and NR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, etc</w:t>
            </w:r>
          </w:p>
        </w:tc>
        <w:tc>
          <w:tcPr>
            <w:tcW w:w="2824" w:type="dxa"/>
          </w:tcPr>
          <w:p w14:paraId="176B33DF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Ongoing</w:t>
            </w:r>
          </w:p>
        </w:tc>
      </w:tr>
      <w:tr w14:paraId="7B75D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7" w:type="dxa"/>
            <w:vMerge w:val="restart"/>
          </w:tcPr>
          <w:p w14:paraId="1A3B9A4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/>
                <w:sz w:val="22"/>
                <w:szCs w:val="22"/>
                <w:lang w:val="en-US" w:eastAsia="zh-CN"/>
              </w:rPr>
              <w:t>Aspects to facilitate MRSS</w:t>
            </w:r>
          </w:p>
        </w:tc>
        <w:tc>
          <w:tcPr>
            <w:tcW w:w="2809" w:type="dxa"/>
          </w:tcPr>
          <w:p w14:paraId="6A59E4B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System parameters, e.g. numerology, channel raster, sync raster, etc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24" w:type="dxa"/>
          </w:tcPr>
          <w:p w14:paraId="2B9B2F64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Ongoing</w:t>
            </w:r>
          </w:p>
        </w:tc>
      </w:tr>
      <w:tr w14:paraId="15C67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7" w:type="dxa"/>
            <w:vMerge w:val="continue"/>
          </w:tcPr>
          <w:p w14:paraId="1B2A579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2809" w:type="dxa"/>
          </w:tcPr>
          <w:p w14:paraId="29D6405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RF requirement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s</w:t>
            </w:r>
          </w:p>
        </w:tc>
        <w:tc>
          <w:tcPr>
            <w:tcW w:w="2824" w:type="dxa"/>
          </w:tcPr>
          <w:p w14:paraId="52B57140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Ongoing</w:t>
            </w:r>
          </w:p>
        </w:tc>
      </w:tr>
      <w:tr w14:paraId="30497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7" w:type="dxa"/>
            <w:vMerge w:val="continue"/>
          </w:tcPr>
          <w:p w14:paraId="1C1B292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2809" w:type="dxa"/>
          </w:tcPr>
          <w:p w14:paraId="6B7948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RRM requirement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s</w:t>
            </w:r>
          </w:p>
        </w:tc>
        <w:tc>
          <w:tcPr>
            <w:tcW w:w="2824" w:type="dxa"/>
          </w:tcPr>
          <w:p w14:paraId="4FDEC572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Ongoing</w:t>
            </w:r>
          </w:p>
        </w:tc>
      </w:tr>
      <w:tr w14:paraId="16AF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7" w:type="dxa"/>
            <w:vMerge w:val="continue"/>
          </w:tcPr>
          <w:p w14:paraId="4B4C8F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</w:p>
        </w:tc>
        <w:tc>
          <w:tcPr>
            <w:tcW w:w="2809" w:type="dxa"/>
          </w:tcPr>
          <w:p w14:paraId="5E8D053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Interference handlin</w:t>
            </w:r>
            <w:r>
              <w:rPr>
                <w:rFonts w:hint="default" w:ascii="Arial" w:hAnsi="Arial" w:cs="Arial" w:eastAsiaTheme="minorEastAsia"/>
                <w:sz w:val="22"/>
                <w:szCs w:val="22"/>
                <w:lang w:val="en-US" w:eastAsia="zh-CN"/>
              </w:rPr>
              <w:t>g</w:t>
            </w:r>
          </w:p>
        </w:tc>
        <w:tc>
          <w:tcPr>
            <w:tcW w:w="2824" w:type="dxa"/>
          </w:tcPr>
          <w:p w14:paraId="50FD0B85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</w:pPr>
            <w:r>
              <w:rPr>
                <w:rFonts w:hint="default" w:ascii="Arial" w:hAnsi="Arial" w:cs="Arial" w:eastAsiaTheme="minorEastAsia"/>
                <w:sz w:val="22"/>
                <w:szCs w:val="22"/>
                <w:lang w:val="en-GB"/>
              </w:rPr>
              <w:t>Ongoing</w:t>
            </w:r>
          </w:p>
        </w:tc>
      </w:tr>
    </w:tbl>
    <w:p w14:paraId="7613127C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RAN4 - 6G </w:t>
      </w:r>
      <w:r>
        <w:rPr>
          <w:rFonts w:hint="eastAsia"/>
          <w:b/>
          <w:bCs/>
          <w:lang w:val="en-US" w:eastAsia="zh-CN"/>
        </w:rPr>
        <w:t>spectrum sharing</w:t>
      </w:r>
      <w:r>
        <w:rPr>
          <w:b/>
          <w:bCs/>
          <w:lang w:val="en-US"/>
        </w:rPr>
        <w:t xml:space="preserve"> agreements</w:t>
      </w:r>
    </w:p>
    <w:p w14:paraId="7229DAB8">
      <w:pPr>
        <w:pStyle w:val="3"/>
        <w:rPr>
          <w:lang w:val="en-US"/>
        </w:rPr>
      </w:pPr>
      <w:r>
        <w:rPr>
          <w:lang w:val="en-US"/>
        </w:rPr>
        <w:t>Key tdocs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1677"/>
        <w:gridCol w:w="6502"/>
      </w:tblGrid>
      <w:tr w14:paraId="0748E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vMerge w:val="restart"/>
            <w:vAlign w:val="top"/>
          </w:tcPr>
          <w:p w14:paraId="44112BC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  <w:t>RAN4#117</w:t>
            </w:r>
          </w:p>
        </w:tc>
        <w:tc>
          <w:tcPr>
            <w:tcW w:w="1677" w:type="dxa"/>
            <w:vAlign w:val="top"/>
          </w:tcPr>
          <w:p w14:paraId="76AC872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/>
                <w:sz w:val="22"/>
                <w:szCs w:val="22"/>
              </w:rPr>
              <w:t>R4-25</w:t>
            </w:r>
            <w:r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  <w:t>22273</w:t>
            </w:r>
          </w:p>
        </w:tc>
        <w:tc>
          <w:tcPr>
            <w:tcW w:w="6502" w:type="dxa"/>
            <w:vAlign w:val="top"/>
          </w:tcPr>
          <w:p w14:paraId="2DE9F4B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  <w:t>Feature lead summary for  [11</w:t>
            </w:r>
            <w:r>
              <w:rPr>
                <w:rFonts w:hint="eastAsia" w:ascii="Arial" w:hAnsi="Arial" w:cs="Arial" w:eastAsiaTheme="minorEastAsia"/>
                <w:color w:val="000000"/>
                <w:sz w:val="22"/>
                <w:szCs w:val="22"/>
                <w:lang w:val="en-US" w:eastAsia="zh-CN"/>
              </w:rPr>
              <w:t>7</w:t>
            </w:r>
            <w:r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  <w:t>][108] 6G spectrum sharing</w:t>
            </w:r>
          </w:p>
        </w:tc>
      </w:tr>
      <w:tr w14:paraId="4FDEE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vMerge w:val="continue"/>
            <w:vAlign w:val="top"/>
          </w:tcPr>
          <w:p w14:paraId="156F125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  <w:vAlign w:val="top"/>
          </w:tcPr>
          <w:p w14:paraId="6DFA720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/>
                <w:sz w:val="22"/>
                <w:szCs w:val="22"/>
              </w:rPr>
              <w:t>R4-25</w:t>
            </w:r>
            <w:r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  <w:t>22455</w:t>
            </w:r>
          </w:p>
        </w:tc>
        <w:tc>
          <w:tcPr>
            <w:tcW w:w="6502" w:type="dxa"/>
            <w:vAlign w:val="top"/>
          </w:tcPr>
          <w:p w14:paraId="0003AAD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  <w:t>WF on [117][108] 6G spectrum sharing</w:t>
            </w:r>
          </w:p>
        </w:tc>
      </w:tr>
      <w:tr w14:paraId="1D1F9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vMerge w:val="restart"/>
          </w:tcPr>
          <w:p w14:paraId="4538655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  <w:t>RAN4 #116bis</w:t>
            </w:r>
          </w:p>
        </w:tc>
        <w:tc>
          <w:tcPr>
            <w:tcW w:w="1677" w:type="dxa"/>
          </w:tcPr>
          <w:p w14:paraId="7183404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/>
                <w:sz w:val="22"/>
                <w:szCs w:val="22"/>
              </w:rPr>
              <w:t>R4-251</w:t>
            </w: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4515</w:t>
            </w:r>
          </w:p>
        </w:tc>
        <w:tc>
          <w:tcPr>
            <w:tcW w:w="6502" w:type="dxa"/>
          </w:tcPr>
          <w:p w14:paraId="53451AB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  <w:t>Feature lead summary for  [116bis][108] 6G spectrum sharing</w:t>
            </w:r>
          </w:p>
        </w:tc>
      </w:tr>
      <w:tr w14:paraId="1A37A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vMerge w:val="continue"/>
          </w:tcPr>
          <w:p w14:paraId="23124C0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</w:tcPr>
          <w:p w14:paraId="6080AC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cs="Arial"/>
                <w:sz w:val="22"/>
                <w:szCs w:val="22"/>
              </w:rPr>
              <w:t>R4-251</w:t>
            </w:r>
            <w:r>
              <w:rPr>
                <w:rFonts w:hint="default" w:ascii="Arial" w:hAnsi="Arial" w:eastAsia="宋体" w:cs="Arial"/>
                <w:sz w:val="22"/>
                <w:szCs w:val="22"/>
                <w:lang w:val="en-US" w:eastAsia="zh-CN"/>
              </w:rPr>
              <w:t>4646</w:t>
            </w:r>
          </w:p>
        </w:tc>
        <w:tc>
          <w:tcPr>
            <w:tcW w:w="6502" w:type="dxa"/>
          </w:tcPr>
          <w:p w14:paraId="436BD0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color w:val="000000"/>
                <w:sz w:val="22"/>
                <w:szCs w:val="22"/>
              </w:rPr>
              <w:t>WF for [116bis][108] 6G spectrum sharing</w:t>
            </w:r>
          </w:p>
        </w:tc>
      </w:tr>
    </w:tbl>
    <w:p w14:paraId="7118EBB2">
      <w:pPr>
        <w:pStyle w:val="3"/>
        <w:rPr>
          <w:lang w:val="en-US"/>
        </w:rPr>
      </w:pPr>
      <w:r>
        <w:rPr>
          <w:lang w:val="en-US"/>
        </w:rPr>
        <w:t>Key agreements</w:t>
      </w:r>
    </w:p>
    <w:p w14:paraId="55F602BC">
      <w:pPr>
        <w:pStyle w:val="4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General aspects</w:t>
      </w:r>
    </w:p>
    <w:p w14:paraId="04B133B0">
      <w:pPr>
        <w:pStyle w:val="5"/>
        <w:bidi w:val="0"/>
        <w:ind w:left="864" w:leftChars="0" w:hanging="864" w:firstLineChars="0"/>
        <w:rPr>
          <w:lang w:val="en-US"/>
        </w:rPr>
      </w:pPr>
      <w:r>
        <w:rPr>
          <w:lang w:val="en-US"/>
        </w:rPr>
        <w:t>RAN4 #11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 xml:space="preserve"> meeting (</w:t>
      </w:r>
      <w:r>
        <w:rPr>
          <w:rFonts w:hint="eastAsia"/>
          <w:lang w:val="en-US" w:eastAsia="zh-CN"/>
        </w:rPr>
        <w:t>Nov</w:t>
      </w:r>
      <w:r>
        <w:rPr>
          <w:lang w:val="en-US"/>
        </w:rPr>
        <w:t>-2025)</w:t>
      </w:r>
    </w:p>
    <w:p w14:paraId="1E82905E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ko-KR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>Issue 1-1-1: Scenarios for MRSS between 6GR and NR</w:t>
      </w:r>
    </w:p>
    <w:p w14:paraId="09556E02">
      <w:pPr>
        <w:pStyle w:val="15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leftChars="0" w:firstLineChars="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</w:rPr>
      </w:pPr>
      <w:r>
        <w:rPr>
          <w:rFonts w:hint="default" w:ascii="Arial" w:hAnsi="Arial" w:eastAsia="宋体" w:cs="Arial"/>
          <w:b/>
          <w:bCs/>
          <w:color w:val="auto"/>
          <w:sz w:val="22"/>
          <w:szCs w:val="22"/>
        </w:rPr>
        <w:t>Sub-issue 1: Spectrum sharing scheme considered for RAN4 study</w:t>
      </w:r>
    </w:p>
    <w:p w14:paraId="61D56C07">
      <w:pPr>
        <w:pStyle w:val="150"/>
        <w:pageBreakBefore w:val="0"/>
        <w:widowControl/>
        <w:numPr>
          <w:ilvl w:val="6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leftChars="300" w:firstLineChars="0"/>
        <w:textAlignment w:val="auto"/>
        <w:outlineLvl w:val="9"/>
        <w:rPr>
          <w:rFonts w:hint="default" w:ascii="Arial" w:hAnsi="Arial" w:eastAsia="宋体" w:cs="Arial"/>
          <w:color w:val="auto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color w:val="auto"/>
          <w:sz w:val="22"/>
          <w:szCs w:val="22"/>
          <w:highlight w:val="green"/>
        </w:rPr>
        <w:t>Agreement:</w:t>
      </w:r>
    </w:p>
    <w:p w14:paraId="6AFB07A5">
      <w:pPr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680" w:leftChars="0" w:hanging="420" w:firstLineChars="0"/>
        <w:textAlignment w:val="auto"/>
        <w:outlineLvl w:val="9"/>
        <w:rPr>
          <w:rFonts w:hint="default" w:ascii="Arial" w:hAnsi="Arial" w:cs="Arial"/>
          <w:color w:val="auto"/>
          <w:sz w:val="22"/>
          <w:szCs w:val="22"/>
        </w:rPr>
      </w:pPr>
      <w:r>
        <w:rPr>
          <w:rFonts w:hint="default" w:ascii="Arial" w:hAnsi="Arial" w:cs="Arial"/>
          <w:color w:val="auto"/>
          <w:sz w:val="22"/>
          <w:szCs w:val="22"/>
          <w:highlight w:val="green"/>
        </w:rPr>
        <w:t>RAN4 will not discuss the spectrum sharing scheme before sufficient progress is made in RAN1. It is FFS if the RAN4 requirements will be impacted by the spectrum sharing scheme.</w:t>
      </w:r>
      <w:r>
        <w:rPr>
          <w:rFonts w:hint="default" w:ascii="Arial" w:hAnsi="Arial" w:cs="Arial"/>
          <w:color w:val="auto"/>
          <w:sz w:val="22"/>
          <w:szCs w:val="22"/>
        </w:rPr>
        <w:t xml:space="preserve"> </w:t>
      </w:r>
    </w:p>
    <w:p w14:paraId="4285F88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Arial" w:hAnsi="Arial" w:cs="Arial"/>
          <w:color w:val="auto"/>
          <w:sz w:val="22"/>
          <w:szCs w:val="22"/>
          <w:lang w:val="en-US"/>
        </w:rPr>
      </w:pPr>
    </w:p>
    <w:p w14:paraId="1A7DD626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ko-KR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>Issue 1-1-2: Spectrum sharing with NTN</w:t>
      </w:r>
    </w:p>
    <w:p w14:paraId="0BE25D2F">
      <w:pPr>
        <w:pStyle w:val="150"/>
        <w:pageBreakBefore w:val="0"/>
        <w:widowControl/>
        <w:numPr>
          <w:ilvl w:val="6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leftChars="300" w:firstLineChars="0"/>
        <w:textAlignment w:val="auto"/>
        <w:outlineLvl w:val="9"/>
        <w:rPr>
          <w:rFonts w:hint="default" w:ascii="Arial" w:hAnsi="Arial" w:eastAsia="宋体" w:cs="Arial"/>
          <w:color w:val="auto"/>
          <w:sz w:val="22"/>
          <w:szCs w:val="22"/>
          <w:highlight w:val="green"/>
          <w:lang w:eastAsia="ko-KR"/>
        </w:rPr>
      </w:pPr>
      <w:r>
        <w:rPr>
          <w:rFonts w:hint="default" w:ascii="Arial" w:hAnsi="Arial" w:eastAsia="宋体" w:cs="Arial"/>
          <w:color w:val="auto"/>
          <w:sz w:val="22"/>
          <w:szCs w:val="22"/>
          <w:highlight w:val="green"/>
          <w:lang w:eastAsia="ko-KR"/>
        </w:rPr>
        <w:t>Agreement:</w:t>
      </w:r>
    </w:p>
    <w:p w14:paraId="70796E01">
      <w:pPr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680" w:leftChars="0" w:hanging="420" w:firstLineChars="0"/>
        <w:textAlignment w:val="auto"/>
        <w:outlineLvl w:val="9"/>
        <w:rPr>
          <w:rFonts w:hint="default" w:ascii="Arial" w:hAnsi="Arial" w:cs="Arial"/>
          <w:color w:val="auto"/>
          <w:sz w:val="22"/>
          <w:szCs w:val="22"/>
          <w:highlight w:val="green"/>
          <w:lang w:eastAsia="ko-KR"/>
        </w:rPr>
      </w:pPr>
      <w:r>
        <w:rPr>
          <w:rFonts w:hint="default" w:ascii="Arial" w:hAnsi="Arial" w:cs="Arial"/>
          <w:color w:val="auto"/>
          <w:sz w:val="22"/>
          <w:szCs w:val="22"/>
          <w:highlight w:val="green"/>
          <w:lang w:eastAsia="ko-KR"/>
        </w:rPr>
        <w:t>By taking NR TN+6G TN MRSS as the baseline, RAN4 will strive to leverage the related discussion and agreement to NR NTN+6G NTN MRSS.</w:t>
      </w:r>
    </w:p>
    <w:p w14:paraId="77B9FB20">
      <w:pPr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2100" w:leftChars="0" w:hanging="420" w:firstLineChars="0"/>
        <w:textAlignment w:val="auto"/>
        <w:outlineLvl w:val="9"/>
        <w:rPr>
          <w:rFonts w:hint="default" w:ascii="Arial" w:hAnsi="Arial" w:cs="Arial"/>
          <w:color w:val="auto"/>
          <w:sz w:val="22"/>
          <w:szCs w:val="22"/>
          <w:highlight w:val="green"/>
          <w:lang w:eastAsia="ko-KR"/>
        </w:rPr>
      </w:pPr>
      <w:r>
        <w:rPr>
          <w:rFonts w:hint="default" w:ascii="Arial" w:hAnsi="Arial" w:cs="Arial"/>
          <w:color w:val="auto"/>
          <w:sz w:val="22"/>
          <w:szCs w:val="22"/>
          <w:highlight w:val="green"/>
          <w:lang w:eastAsia="ko-KR"/>
        </w:rPr>
        <w:t>RAN1’s related agreements will be taken into consideration.</w:t>
      </w:r>
    </w:p>
    <w:p w14:paraId="579FB97F">
      <w:pPr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2100" w:leftChars="0" w:hanging="420" w:firstLineChars="0"/>
        <w:textAlignment w:val="auto"/>
        <w:outlineLvl w:val="9"/>
        <w:rPr>
          <w:rFonts w:hint="default" w:ascii="Arial" w:hAnsi="Arial" w:cs="Arial"/>
          <w:color w:val="auto"/>
          <w:sz w:val="22"/>
          <w:szCs w:val="22"/>
        </w:rPr>
      </w:pPr>
      <w:r>
        <w:rPr>
          <w:rFonts w:hint="default" w:ascii="Arial" w:hAnsi="Arial" w:cs="Arial"/>
          <w:color w:val="auto"/>
          <w:sz w:val="22"/>
          <w:szCs w:val="22"/>
          <w:highlight w:val="green"/>
          <w:lang w:eastAsia="ko-KR"/>
        </w:rPr>
        <w:t xml:space="preserve">NR NTN+6G TN and NR TN+6G NTN will be postponed in RAN4 until clear guidance from RAN is available. </w:t>
      </w:r>
    </w:p>
    <w:p w14:paraId="693D24DB">
      <w:pPr>
        <w:pStyle w:val="5"/>
        <w:bidi w:val="0"/>
        <w:ind w:left="864" w:leftChars="0" w:hanging="864" w:firstLineChars="0"/>
        <w:rPr>
          <w:lang w:val="en-US"/>
        </w:rPr>
      </w:pPr>
      <w:r>
        <w:rPr>
          <w:lang w:val="en-US"/>
        </w:rPr>
        <w:t>RAN4 #116bis meeting (Oct-2025)</w:t>
      </w:r>
    </w:p>
    <w:p w14:paraId="613639DD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ko-KR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>Sub-topic 1-0: Agenda handling</w:t>
      </w:r>
    </w:p>
    <w:p w14:paraId="34B0E18D">
      <w:pPr>
        <w:pStyle w:val="15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firstLineChars="0"/>
        <w:textAlignment w:val="auto"/>
        <w:outlineLvl w:val="9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 xml:space="preserve">Agreements </w:t>
      </w:r>
    </w:p>
    <w:p w14:paraId="79621FE1">
      <w:pPr>
        <w:pageBreakBefore w:val="0"/>
        <w:widowControl/>
        <w:kinsoku/>
        <w:wordWrap/>
        <w:topLinePunct w:val="0"/>
        <w:bidi w:val="0"/>
        <w:snapToGrid/>
        <w:ind w:left="720" w:leftChars="300"/>
        <w:outlineLvl w:val="9"/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</w:pPr>
      <w:r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  <w:t>MRSS should be considered in the ultimate RAN4 decision, including RAN4’s input to interim milestone.</w:t>
      </w:r>
    </w:p>
    <w:p w14:paraId="7474CC9E">
      <w:pPr>
        <w:pageBreakBefore w:val="0"/>
        <w:widowControl/>
        <w:kinsoku/>
        <w:wordWrap/>
        <w:topLinePunct w:val="0"/>
        <w:bidi w:val="0"/>
        <w:snapToGrid/>
        <w:ind w:left="720" w:leftChars="300"/>
        <w:outlineLvl w:val="9"/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</w:pPr>
    </w:p>
    <w:p w14:paraId="32643367">
      <w:pPr>
        <w:pageBreakBefore w:val="0"/>
        <w:widowControl/>
        <w:kinsoku/>
        <w:wordWrap/>
        <w:topLinePunct w:val="0"/>
        <w:bidi w:val="0"/>
        <w:snapToGrid/>
        <w:ind w:left="720" w:leftChars="300"/>
        <w:outlineLvl w:val="9"/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</w:pPr>
      <w:r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  <w:t>Regarding some of the system parameters (e.g. SCS, sync raster, channel raster etc.), separated agenda will be designated for the scenar</w:t>
      </w:r>
      <w:r>
        <w:rPr>
          <w:rFonts w:hint="default" w:ascii="Arial" w:hAnsi="Arial" w:eastAsia="宋体" w:cs="Arial"/>
          <w:bCs/>
          <w:sz w:val="22"/>
          <w:szCs w:val="22"/>
          <w:highlight w:val="green"/>
        </w:rPr>
        <w:t>i</w:t>
      </w:r>
      <w:r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  <w:t>os of  with (in spectrum sharing)  and without (in system parameter) MRSS considered.</w:t>
      </w:r>
    </w:p>
    <w:p w14:paraId="0B0BD22B">
      <w:pPr>
        <w:pStyle w:val="150"/>
        <w:pageBreakBefore w:val="0"/>
        <w:widowControl/>
        <w:numPr>
          <w:ilvl w:val="6"/>
          <w:numId w:val="11"/>
        </w:numPr>
        <w:kinsoku/>
        <w:wordWrap/>
        <w:topLinePunct w:val="0"/>
        <w:bidi w:val="0"/>
        <w:snapToGrid/>
        <w:ind w:left="720" w:leftChars="300" w:firstLineChars="0"/>
        <w:outlineLvl w:val="9"/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</w:pPr>
      <w:r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  <w:t>If feasible, RAN4 strives to define unified system parameters for the scenarios with and without MRSS.</w:t>
      </w:r>
    </w:p>
    <w:p w14:paraId="616F0005">
      <w:pPr>
        <w:pStyle w:val="150"/>
        <w:pageBreakBefore w:val="0"/>
        <w:widowControl/>
        <w:numPr>
          <w:ilvl w:val="6"/>
          <w:numId w:val="11"/>
        </w:numPr>
        <w:kinsoku/>
        <w:wordWrap/>
        <w:topLinePunct w:val="0"/>
        <w:bidi w:val="0"/>
        <w:snapToGrid/>
        <w:ind w:left="720" w:leftChars="300" w:firstLineChars="0"/>
        <w:outlineLvl w:val="9"/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</w:pPr>
      <w:r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  <w:t xml:space="preserve">Revisit this agenda arrangement after Feb. meeting in 2026 for potentially merging the discussion under the single agenda. </w:t>
      </w:r>
    </w:p>
    <w:p w14:paraId="54EC512E">
      <w:pPr>
        <w:pageBreakBefore w:val="0"/>
        <w:widowControl/>
        <w:kinsoku/>
        <w:wordWrap/>
        <w:topLinePunct w:val="0"/>
        <w:bidi w:val="0"/>
        <w:snapToGrid/>
        <w:ind w:left="720" w:leftChars="300"/>
        <w:outlineLvl w:val="9"/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</w:pPr>
    </w:p>
    <w:p w14:paraId="3E937B40">
      <w:pPr>
        <w:pageBreakBefore w:val="0"/>
        <w:widowControl/>
        <w:kinsoku/>
        <w:wordWrap/>
        <w:topLinePunct w:val="0"/>
        <w:bidi w:val="0"/>
        <w:snapToGrid/>
        <w:ind w:left="720" w:leftChars="300"/>
        <w:outlineLvl w:val="9"/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</w:pPr>
      <w:r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  <w:t xml:space="preserve"> Before RAN4 rece</w:t>
      </w:r>
      <w:r>
        <w:rPr>
          <w:rFonts w:hint="default" w:ascii="Arial" w:hAnsi="Arial" w:eastAsia="宋体" w:cs="Arial"/>
          <w:bCs/>
          <w:sz w:val="22"/>
          <w:szCs w:val="22"/>
          <w:highlight w:val="green"/>
        </w:rPr>
        <w:t>i</w:t>
      </w:r>
      <w:r>
        <w:rPr>
          <w:rFonts w:hint="default" w:ascii="Arial" w:hAnsi="Arial" w:cs="Arial"/>
          <w:bCs/>
          <w:sz w:val="22"/>
          <w:szCs w:val="22"/>
          <w:highlight w:val="green"/>
          <w:lang w:eastAsia="ko-KR"/>
        </w:rPr>
        <w:t xml:space="preserve">ves concrete design from RAN1/2, RAN4 discussion will be based on the agreed hypothesis. </w:t>
      </w:r>
    </w:p>
    <w:p w14:paraId="40C5CD9B">
      <w:pPr>
        <w:pageBreakBefore w:val="0"/>
        <w:widowControl/>
        <w:numPr>
          <w:ilvl w:val="1"/>
          <w:numId w:val="0"/>
        </w:numPr>
        <w:kinsoku/>
        <w:wordWrap/>
        <w:topLinePunct w:val="0"/>
        <w:bidi w:val="0"/>
        <w:snapToGrid/>
        <w:ind w:leftChars="0"/>
        <w:outlineLvl w:val="9"/>
        <w:rPr>
          <w:sz w:val="22"/>
          <w:szCs w:val="22"/>
          <w:lang w:val="en-US"/>
        </w:rPr>
      </w:pPr>
    </w:p>
    <w:p w14:paraId="0DFC8096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 xml:space="preserve">Issue 1-1-1: Migration scheme </w:t>
      </w:r>
    </w:p>
    <w:p w14:paraId="15284F8B">
      <w:pPr>
        <w:pStyle w:val="15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firstLineChars="0"/>
        <w:textAlignment w:val="auto"/>
        <w:outlineLvl w:val="9"/>
        <w:rPr>
          <w:rFonts w:hint="default" w:ascii="Arial" w:hAnsi="Arial" w:eastAsia="宋体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Agreements</w:t>
      </w:r>
    </w:p>
    <w:p w14:paraId="35DCB405">
      <w:pPr>
        <w:pStyle w:val="150"/>
        <w:pageBreakBefore w:val="0"/>
        <w:widowControl/>
        <w:numPr>
          <w:ilvl w:val="0"/>
          <w:numId w:val="12"/>
        </w:numPr>
        <w:tabs>
          <w:tab w:val="left" w:pos="420"/>
          <w:tab w:val="clear" w:pos="840"/>
        </w:tabs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cs="Arial"/>
          <w:sz w:val="22"/>
          <w:szCs w:val="22"/>
          <w:highlight w:val="green"/>
        </w:rPr>
      </w:pPr>
      <w:r>
        <w:rPr>
          <w:rFonts w:hint="default" w:ascii="Arial" w:hAnsi="Arial" w:cs="Arial"/>
          <w:sz w:val="22"/>
          <w:szCs w:val="22"/>
          <w:highlight w:val="green"/>
        </w:rPr>
        <w:t>RAN4 focus on MRSS between 6GR and NR</w:t>
      </w:r>
      <w:r>
        <w:rPr>
          <w:rFonts w:hint="default" w:ascii="Arial" w:hAnsi="Arial" w:eastAsia="宋体" w:cs="Arial"/>
          <w:sz w:val="22"/>
          <w:szCs w:val="22"/>
          <w:highlight w:val="green"/>
        </w:rPr>
        <w:t xml:space="preserve"> until further RANP guidance</w:t>
      </w:r>
    </w:p>
    <w:p w14:paraId="4C5FA53E">
      <w:pPr>
        <w:pStyle w:val="150"/>
        <w:pageBreakBefore w:val="0"/>
        <w:widowControl/>
        <w:numPr>
          <w:ilvl w:val="0"/>
          <w:numId w:val="12"/>
        </w:numPr>
        <w:tabs>
          <w:tab w:val="left" w:pos="420"/>
          <w:tab w:val="clear" w:pos="840"/>
        </w:tabs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cs="Arial"/>
          <w:sz w:val="22"/>
          <w:szCs w:val="22"/>
          <w:highlight w:val="green"/>
        </w:rPr>
      </w:pPr>
      <w:r>
        <w:rPr>
          <w:rFonts w:hint="default" w:ascii="Arial" w:hAnsi="Arial" w:cs="Arial"/>
          <w:sz w:val="22"/>
          <w:szCs w:val="22"/>
          <w:highlight w:val="green"/>
        </w:rPr>
        <w:t>RAN4 focus on inter-RAT mobility between 6GR and NR</w:t>
      </w:r>
    </w:p>
    <w:p w14:paraId="2068F09B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 xml:space="preserve">Issue 1-1-2: Scenarios for MRSS between 6GR and NR </w:t>
      </w:r>
    </w:p>
    <w:p w14:paraId="0ED16BB1">
      <w:pPr>
        <w:pStyle w:val="15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firstLineChars="0"/>
        <w:textAlignment w:val="auto"/>
        <w:outlineLvl w:val="9"/>
        <w:rPr>
          <w:rFonts w:hint="default" w:ascii="Arial" w:hAnsi="Arial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Agreements</w:t>
      </w:r>
    </w:p>
    <w:p w14:paraId="020FC0EB">
      <w:pPr>
        <w:pStyle w:val="15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firstLineChars="0"/>
        <w:textAlignment w:val="auto"/>
        <w:outlineLvl w:val="9"/>
        <w:rPr>
          <w:rFonts w:hint="default" w:ascii="Arial" w:hAnsi="Arial" w:cs="Arial"/>
          <w:sz w:val="22"/>
          <w:szCs w:val="22"/>
          <w:highlight w:val="green"/>
        </w:rPr>
      </w:pPr>
      <w:r>
        <w:rPr>
          <w:rFonts w:hint="default" w:ascii="Arial" w:hAnsi="Arial" w:cs="Arial"/>
          <w:sz w:val="22"/>
          <w:szCs w:val="22"/>
          <w:highlight w:val="green"/>
        </w:rPr>
        <w:t xml:space="preserve">For operating frequency range </w:t>
      </w:r>
      <w:r>
        <w:rPr>
          <w:rFonts w:hint="default" w:ascii="Arial" w:hAnsi="Arial" w:eastAsia="宋体" w:cs="Arial"/>
          <w:sz w:val="22"/>
          <w:szCs w:val="22"/>
          <w:highlight w:val="green"/>
        </w:rPr>
        <w:t xml:space="preserve">or band </w:t>
      </w:r>
      <w:r>
        <w:rPr>
          <w:rFonts w:hint="default" w:ascii="Arial" w:hAnsi="Arial" w:cs="Arial"/>
          <w:sz w:val="22"/>
          <w:szCs w:val="22"/>
          <w:highlight w:val="green"/>
        </w:rPr>
        <w:t>for MRSS between 6GR and NR</w:t>
      </w:r>
    </w:p>
    <w:p w14:paraId="7229A726">
      <w:pPr>
        <w:pStyle w:val="150"/>
        <w:pageBreakBefore w:val="0"/>
        <w:widowControl/>
        <w:numPr>
          <w:ilvl w:val="0"/>
          <w:numId w:val="14"/>
        </w:numPr>
        <w:tabs>
          <w:tab w:val="left" w:pos="1680"/>
          <w:tab w:val="clear" w:pos="1260"/>
        </w:tabs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 xml:space="preserve">Start </w:t>
      </w:r>
      <w:r>
        <w:rPr>
          <w:rFonts w:hint="default" w:ascii="Arial" w:hAnsi="Arial" w:cs="Arial"/>
          <w:sz w:val="22"/>
          <w:szCs w:val="22"/>
          <w:highlight w:val="green"/>
        </w:rPr>
        <w:t xml:space="preserve">RAN4 6G-5G MRSS </w:t>
      </w:r>
      <w:r>
        <w:rPr>
          <w:rFonts w:hint="default" w:ascii="Arial" w:hAnsi="Arial" w:eastAsia="宋体" w:cs="Arial"/>
          <w:sz w:val="22"/>
          <w:szCs w:val="22"/>
          <w:highlight w:val="green"/>
        </w:rPr>
        <w:t xml:space="preserve">study </w:t>
      </w:r>
      <w:r>
        <w:rPr>
          <w:rFonts w:hint="default" w:ascii="Arial" w:hAnsi="Arial" w:cs="Arial"/>
          <w:sz w:val="22"/>
          <w:szCs w:val="22"/>
          <w:highlight w:val="green"/>
        </w:rPr>
        <w:t>in FR1</w:t>
      </w:r>
    </w:p>
    <w:p w14:paraId="29B366C6">
      <w:pPr>
        <w:pStyle w:val="150"/>
        <w:pageBreakBefore w:val="0"/>
        <w:widowControl/>
        <w:numPr>
          <w:ilvl w:val="0"/>
          <w:numId w:val="14"/>
        </w:numPr>
        <w:tabs>
          <w:tab w:val="left" w:pos="1680"/>
          <w:tab w:val="clear" w:pos="1260"/>
        </w:tabs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cs="Arial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sz w:val="22"/>
          <w:szCs w:val="22"/>
          <w:highlight w:val="green"/>
        </w:rPr>
        <w:t>W</w:t>
      </w:r>
      <w:r>
        <w:rPr>
          <w:rFonts w:hint="default" w:ascii="Arial" w:hAnsi="Arial" w:cs="Arial"/>
          <w:sz w:val="22"/>
          <w:szCs w:val="22"/>
          <w:highlight w:val="green"/>
        </w:rPr>
        <w:t>hether to consider 6G-5G MRSS in FR2-1</w:t>
      </w:r>
      <w:r>
        <w:rPr>
          <w:rFonts w:hint="default" w:ascii="Arial" w:hAnsi="Arial" w:eastAsia="宋体" w:cs="Arial"/>
          <w:sz w:val="22"/>
          <w:szCs w:val="22"/>
          <w:highlight w:val="green"/>
        </w:rPr>
        <w:t xml:space="preserve"> is further discussed</w:t>
      </w:r>
    </w:p>
    <w:p w14:paraId="00636E98">
      <w:pPr>
        <w:pageBreakBefore w:val="0"/>
        <w:widowControl/>
        <w:numPr>
          <w:ilvl w:val="1"/>
          <w:numId w:val="0"/>
        </w:numPr>
        <w:kinsoku/>
        <w:wordWrap/>
        <w:topLinePunct w:val="0"/>
        <w:bidi w:val="0"/>
        <w:snapToGrid/>
        <w:ind w:leftChars="0"/>
        <w:outlineLvl w:val="9"/>
        <w:rPr>
          <w:rFonts w:hint="default"/>
          <w:lang w:val="en-US" w:eastAsia="zh-CN"/>
        </w:rPr>
      </w:pPr>
    </w:p>
    <w:p w14:paraId="52E59C20">
      <w:pPr>
        <w:pStyle w:val="4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Aspects to facilitate MRSS</w:t>
      </w:r>
    </w:p>
    <w:p w14:paraId="14FA3930">
      <w:pPr>
        <w:pStyle w:val="5"/>
        <w:bidi w:val="0"/>
        <w:ind w:left="864" w:leftChars="0" w:hanging="864" w:firstLineChars="0"/>
        <w:rPr>
          <w:lang w:val="en-US"/>
        </w:rPr>
      </w:pPr>
      <w:r>
        <w:rPr>
          <w:lang w:val="en-US"/>
        </w:rPr>
        <w:t>RAN4 #11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 xml:space="preserve"> meeting (</w:t>
      </w:r>
      <w:r>
        <w:rPr>
          <w:rFonts w:hint="eastAsia"/>
          <w:lang w:val="en-US" w:eastAsia="zh-CN"/>
        </w:rPr>
        <w:t>Nov</w:t>
      </w:r>
      <w:r>
        <w:rPr>
          <w:lang w:val="en-US"/>
        </w:rPr>
        <w:t>-2025)</w:t>
      </w:r>
    </w:p>
    <w:p w14:paraId="6ED49826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ko-KR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 xml:space="preserve">Issue 1-2-2: Channel raster </w:t>
      </w:r>
    </w:p>
    <w:p w14:paraId="2E7F77A8">
      <w:pPr>
        <w:pStyle w:val="150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Arial" w:hAnsi="Arial" w:eastAsia="宋体" w:cs="Arial"/>
          <w:color w:val="auto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color w:val="auto"/>
          <w:sz w:val="22"/>
          <w:szCs w:val="22"/>
          <w:highlight w:val="green"/>
        </w:rPr>
        <w:t>Agreements</w:t>
      </w:r>
    </w:p>
    <w:p w14:paraId="57FB7A95">
      <w:pPr>
        <w:numPr>
          <w:ilvl w:val="0"/>
          <w:numId w:val="9"/>
        </w:numPr>
        <w:spacing w:after="120"/>
        <w:ind w:left="1680" w:leftChars="0" w:hanging="420" w:firstLineChars="0"/>
        <w:rPr>
          <w:rFonts w:hint="default" w:ascii="Arial" w:hAnsi="Arial" w:cs="Arial"/>
          <w:color w:val="auto"/>
          <w:sz w:val="22"/>
          <w:szCs w:val="22"/>
          <w:lang w:val="en-US"/>
        </w:rPr>
      </w:pPr>
      <w:r>
        <w:rPr>
          <w:rFonts w:hint="default" w:ascii="Arial" w:hAnsi="Arial" w:cs="Arial"/>
          <w:color w:val="auto"/>
          <w:sz w:val="22"/>
          <w:szCs w:val="22"/>
          <w:highlight w:val="green"/>
        </w:rPr>
        <w:t>7.5kHz UL shifting is not needed for 5G-6G MRSS</w:t>
      </w:r>
    </w:p>
    <w:p w14:paraId="5775B594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ko-KR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 xml:space="preserve">Issue 1-2-3: Sync raster </w:t>
      </w:r>
    </w:p>
    <w:p w14:paraId="2190D65A">
      <w:pPr>
        <w:pStyle w:val="150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Arial" w:hAnsi="Arial" w:cs="Arial"/>
          <w:iCs/>
          <w:color w:val="auto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color w:val="auto"/>
          <w:sz w:val="22"/>
          <w:szCs w:val="22"/>
          <w:highlight w:val="green"/>
        </w:rPr>
        <w:t>Agreements</w:t>
      </w:r>
    </w:p>
    <w:p w14:paraId="74B89C6E">
      <w:pPr>
        <w:numPr>
          <w:ilvl w:val="0"/>
          <w:numId w:val="9"/>
        </w:numPr>
        <w:spacing w:after="120"/>
        <w:ind w:left="1680" w:leftChars="0" w:hanging="420" w:firstLineChars="0"/>
        <w:rPr>
          <w:rFonts w:hint="default" w:ascii="Arial" w:hAnsi="Arial" w:eastAsia="Times New Roman" w:cs="Arial"/>
          <w:color w:val="auto"/>
          <w:sz w:val="22"/>
          <w:szCs w:val="22"/>
          <w:highlight w:val="green"/>
        </w:rPr>
      </w:pP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  <w:lang w:val="en-US" w:eastAsia="zh-CN"/>
        </w:rPr>
        <w:t>C</w:t>
      </w: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</w:rPr>
        <w:t xml:space="preserve">onsider </w:t>
      </w: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  <w:lang w:val="en-US" w:eastAsia="zh-CN"/>
        </w:rPr>
        <w:t>following</w:t>
      </w: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</w:rPr>
        <w:t xml:space="preserve"> high-level aspects as starting point</w:t>
      </w: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  <w:lang w:val="en-US" w:eastAsia="zh-CN"/>
        </w:rPr>
        <w:t xml:space="preserve"> for Sync raster discussion in RAN4</w:t>
      </w:r>
    </w:p>
    <w:p w14:paraId="1FAE7C53">
      <w:pPr>
        <w:numPr>
          <w:ilvl w:val="0"/>
          <w:numId w:val="10"/>
        </w:numPr>
        <w:spacing w:after="120"/>
        <w:ind w:left="2100" w:leftChars="0" w:hanging="420" w:firstLineChars="0"/>
        <w:rPr>
          <w:rFonts w:hint="default" w:ascii="Arial" w:hAnsi="Arial" w:eastAsia="Times New Roman" w:cs="Arial"/>
          <w:color w:val="auto"/>
          <w:sz w:val="22"/>
          <w:szCs w:val="22"/>
          <w:highlight w:val="green"/>
          <w:lang w:eastAsia="ko-KR"/>
        </w:rPr>
      </w:pP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  <w:lang w:eastAsia="ko-KR"/>
        </w:rPr>
        <w:t xml:space="preserve">How can </w:t>
      </w: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  <w:lang w:val="en-US" w:eastAsia="zh-CN"/>
        </w:rPr>
        <w:t xml:space="preserve">sync </w:t>
      </w: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  <w:lang w:eastAsia="ko-KR"/>
        </w:rPr>
        <w:t>raster design help to improve initial access performance</w:t>
      </w:r>
    </w:p>
    <w:p w14:paraId="71537137">
      <w:pPr>
        <w:numPr>
          <w:ilvl w:val="0"/>
          <w:numId w:val="10"/>
        </w:numPr>
        <w:spacing w:after="120"/>
        <w:ind w:left="2100" w:leftChars="0" w:hanging="420" w:firstLineChars="0"/>
        <w:rPr>
          <w:rFonts w:hint="default" w:ascii="Arial" w:hAnsi="Arial" w:cs="Arial"/>
          <w:color w:val="auto"/>
          <w:sz w:val="22"/>
          <w:szCs w:val="22"/>
          <w:lang w:val="en-US"/>
        </w:rPr>
      </w:pPr>
      <w:r>
        <w:rPr>
          <w:rFonts w:hint="default" w:ascii="Arial" w:hAnsi="Arial" w:eastAsia="Times New Roman" w:cs="Arial"/>
          <w:color w:val="auto"/>
          <w:sz w:val="22"/>
          <w:szCs w:val="22"/>
          <w:highlight w:val="green"/>
          <w:lang w:val="en-US" w:eastAsia="zh-CN"/>
        </w:rPr>
        <w:t>Discuss the relationship between channel raster and sync raster</w:t>
      </w:r>
    </w:p>
    <w:p w14:paraId="139CCFBA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 xml:space="preserve">Issue 1-2-5: Waveform </w:t>
      </w:r>
    </w:p>
    <w:p w14:paraId="6653B175">
      <w:pPr>
        <w:pStyle w:val="150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Arial" w:hAnsi="Arial" w:cs="Arial"/>
          <w:color w:val="auto"/>
          <w:sz w:val="22"/>
          <w:szCs w:val="22"/>
        </w:rPr>
      </w:pPr>
      <w:r>
        <w:rPr>
          <w:rFonts w:hint="default" w:ascii="Arial" w:hAnsi="Arial" w:eastAsia="宋体" w:cs="Arial"/>
          <w:color w:val="auto"/>
          <w:sz w:val="22"/>
          <w:szCs w:val="22"/>
          <w:highlight w:val="green"/>
        </w:rPr>
        <w:t>Agreements</w:t>
      </w:r>
    </w:p>
    <w:p w14:paraId="4CF2A587">
      <w:pPr>
        <w:pStyle w:val="150"/>
        <w:numPr>
          <w:ilvl w:val="0"/>
          <w:numId w:val="15"/>
        </w:numPr>
        <w:spacing w:after="120"/>
        <w:ind w:firstLineChars="0"/>
        <w:rPr>
          <w:rFonts w:hint="default" w:ascii="Arial" w:hAnsi="Arial" w:eastAsia="宋体" w:cs="Arial"/>
          <w:bCs/>
          <w:color w:val="auto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bCs/>
          <w:color w:val="auto"/>
          <w:sz w:val="22"/>
          <w:szCs w:val="22"/>
          <w:highlight w:val="green"/>
        </w:rPr>
        <w:t>Based on RAN1 agreements on basis waveform below, it is feasible from RAN4 perspective to support 5G-6G MRSS from waveform aspect.</w:t>
      </w:r>
    </w:p>
    <w:p w14:paraId="7E30B1E4">
      <w:pPr>
        <w:pStyle w:val="150"/>
        <w:numPr>
          <w:ilvl w:val="0"/>
          <w:numId w:val="16"/>
        </w:numPr>
        <w:spacing w:after="120"/>
        <w:ind w:firstLineChars="0"/>
        <w:rPr>
          <w:rFonts w:hint="default" w:ascii="Arial" w:hAnsi="Arial" w:eastAsia="宋体" w:cs="Arial"/>
          <w:bCs/>
          <w:color w:val="auto"/>
          <w:sz w:val="22"/>
          <w:szCs w:val="22"/>
          <w:highlight w:val="green"/>
        </w:rPr>
      </w:pPr>
      <w:r>
        <w:rPr>
          <w:rFonts w:hint="default" w:ascii="Arial" w:hAnsi="Arial" w:eastAsia="宋体" w:cs="Arial"/>
          <w:bCs/>
          <w:color w:val="auto"/>
          <w:sz w:val="22"/>
          <w:szCs w:val="22"/>
          <w:highlight w:val="green"/>
        </w:rPr>
        <w:t>UL : CP-OFDM and DFT-s-OFDM</w:t>
      </w:r>
    </w:p>
    <w:p w14:paraId="5F24468B">
      <w:pPr>
        <w:pStyle w:val="150"/>
        <w:numPr>
          <w:ilvl w:val="0"/>
          <w:numId w:val="16"/>
        </w:numPr>
        <w:spacing w:after="120"/>
        <w:ind w:firstLineChars="0"/>
        <w:rPr>
          <w:rFonts w:hint="default" w:ascii="Arial" w:hAnsi="Arial" w:cs="Arial" w:eastAsiaTheme="minorEastAsia"/>
          <w:sz w:val="22"/>
          <w:szCs w:val="22"/>
          <w:lang w:val="en-US" w:eastAsia="zh-CN"/>
        </w:rPr>
      </w:pPr>
      <w:r>
        <w:rPr>
          <w:rFonts w:hint="default" w:ascii="Arial" w:hAnsi="Arial" w:eastAsia="宋体" w:cs="Arial"/>
          <w:bCs/>
          <w:color w:val="auto"/>
          <w:sz w:val="22"/>
          <w:szCs w:val="22"/>
          <w:highlight w:val="green"/>
        </w:rPr>
        <w:t>DL : CP-OFDM</w:t>
      </w:r>
    </w:p>
    <w:p w14:paraId="683AC0FA">
      <w:pPr>
        <w:pStyle w:val="5"/>
        <w:bidi w:val="0"/>
        <w:ind w:left="864" w:leftChars="0" w:hanging="864" w:firstLineChars="0"/>
        <w:rPr>
          <w:lang w:val="en-US"/>
        </w:rPr>
      </w:pPr>
      <w:r>
        <w:rPr>
          <w:lang w:val="en-US"/>
        </w:rPr>
        <w:t>RAN4 #116bis meeting (Oct-2025)</w:t>
      </w:r>
    </w:p>
    <w:p w14:paraId="57203854">
      <w:pPr>
        <w:keepNext/>
        <w:keepLines/>
        <w:pageBreakBefore w:val="0"/>
        <w:widowControl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</w:pPr>
      <w:r>
        <w:rPr>
          <w:rFonts w:hint="default" w:ascii="Arial" w:hAnsi="Arial" w:cs="Arial"/>
          <w:b/>
          <w:bCs/>
          <w:color w:val="auto"/>
          <w:sz w:val="22"/>
          <w:szCs w:val="22"/>
          <w:lang w:val="en-US" w:eastAsia="zh-CN"/>
        </w:rPr>
        <w:t xml:space="preserve">Issue 1-2-0: General consideration </w:t>
      </w:r>
    </w:p>
    <w:p w14:paraId="4458B0F3">
      <w:pPr>
        <w:pStyle w:val="15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720" w:firstLineChars="0"/>
        <w:textAlignment w:val="auto"/>
        <w:outlineLvl w:val="9"/>
        <w:rPr>
          <w:rFonts w:hint="default" w:ascii="Arial" w:hAnsi="Arial" w:eastAsia="宋体" w:cs="Arial"/>
          <w:highlight w:val="green"/>
          <w:lang w:eastAsia="ko-KR"/>
        </w:rPr>
      </w:pPr>
      <w:r>
        <w:rPr>
          <w:rFonts w:hint="default" w:ascii="Arial" w:hAnsi="Arial" w:eastAsia="宋体" w:cs="Arial"/>
          <w:highlight w:val="green"/>
          <w:lang w:eastAsia="ko-KR"/>
        </w:rPr>
        <w:t>Agreement</w:t>
      </w:r>
    </w:p>
    <w:p w14:paraId="55980CFB">
      <w:pPr>
        <w:pStyle w:val="150"/>
        <w:pageBreakBefore w:val="0"/>
        <w:widowControl/>
        <w:numPr>
          <w:ilvl w:val="0"/>
          <w:numId w:val="17"/>
        </w:numPr>
        <w:kinsoku/>
        <w:wordWrap/>
        <w:topLinePunct w:val="0"/>
        <w:bidi w:val="0"/>
        <w:snapToGrid/>
        <w:spacing w:after="120"/>
        <w:ind w:left="1380" w:hanging="360"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green"/>
        </w:rPr>
      </w:pPr>
      <w:r>
        <w:rPr>
          <w:rFonts w:hint="default" w:ascii="Arial" w:hAnsi="Arial" w:eastAsia="宋体" w:cs="Arial"/>
          <w:bCs/>
          <w:sz w:val="22"/>
          <w:szCs w:val="22"/>
          <w:highlight w:val="green"/>
        </w:rPr>
        <w:t>To facilitate MRSS between 6GR and NR, take following aspects as starting point for RAN4 study</w:t>
      </w:r>
    </w:p>
    <w:p w14:paraId="1FFAA0E2">
      <w:pPr>
        <w:pStyle w:val="150"/>
        <w:pageBreakBefore w:val="0"/>
        <w:widowControl/>
        <w:numPr>
          <w:ilvl w:val="0"/>
          <w:numId w:val="18"/>
        </w:numPr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green"/>
        </w:rPr>
      </w:pPr>
      <w:r>
        <w:rPr>
          <w:rFonts w:hint="default" w:ascii="Arial" w:hAnsi="Arial" w:eastAsia="宋体" w:cs="Arial"/>
          <w:bCs/>
          <w:sz w:val="22"/>
          <w:szCs w:val="22"/>
          <w:highlight w:val="green"/>
        </w:rPr>
        <w:t>System parameters</w:t>
      </w:r>
    </w:p>
    <w:p w14:paraId="07803701">
      <w:pPr>
        <w:pStyle w:val="150"/>
        <w:pageBreakBefore w:val="0"/>
        <w:widowControl/>
        <w:numPr>
          <w:ilvl w:val="0"/>
          <w:numId w:val="18"/>
        </w:numPr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green"/>
          <w:lang w:eastAsia="ko-KR"/>
        </w:rPr>
      </w:pPr>
      <w:r>
        <w:rPr>
          <w:rFonts w:hint="default" w:ascii="Arial" w:hAnsi="Arial" w:eastAsia="宋体" w:cs="Arial"/>
          <w:bCs/>
          <w:sz w:val="22"/>
          <w:szCs w:val="22"/>
          <w:highlight w:val="green"/>
        </w:rPr>
        <w:t>RF requirements</w:t>
      </w:r>
    </w:p>
    <w:p w14:paraId="147ABB19">
      <w:pPr>
        <w:pStyle w:val="150"/>
        <w:pageBreakBefore w:val="0"/>
        <w:widowControl/>
        <w:numPr>
          <w:ilvl w:val="0"/>
          <w:numId w:val="18"/>
        </w:numPr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green"/>
          <w:lang w:eastAsia="ko-KR"/>
        </w:rPr>
      </w:pPr>
      <w:r>
        <w:rPr>
          <w:rFonts w:hint="default" w:ascii="Arial" w:hAnsi="Arial" w:eastAsia="宋体" w:cs="Arial"/>
          <w:bCs/>
          <w:sz w:val="22"/>
          <w:szCs w:val="22"/>
          <w:highlight w:val="green"/>
        </w:rPr>
        <w:t>RRM requirements</w:t>
      </w:r>
    </w:p>
    <w:p w14:paraId="4F2B3E19">
      <w:pPr>
        <w:pStyle w:val="150"/>
        <w:pageBreakBefore w:val="0"/>
        <w:widowControl/>
        <w:numPr>
          <w:ilvl w:val="0"/>
          <w:numId w:val="18"/>
        </w:numPr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green"/>
          <w:lang w:eastAsia="ko-KR"/>
        </w:rPr>
      </w:pPr>
      <w:r>
        <w:rPr>
          <w:rFonts w:hint="default" w:ascii="Arial" w:hAnsi="Arial" w:eastAsia="宋体" w:cs="Arial"/>
          <w:bCs/>
          <w:sz w:val="22"/>
          <w:szCs w:val="22"/>
          <w:highlight w:val="green"/>
        </w:rPr>
        <w:t>Interference handling</w:t>
      </w:r>
    </w:p>
    <w:p w14:paraId="2DD296DA">
      <w:pPr>
        <w:pStyle w:val="150"/>
        <w:pageBreakBefore w:val="0"/>
        <w:widowControl/>
        <w:numPr>
          <w:ilvl w:val="0"/>
          <w:numId w:val="19"/>
        </w:numPr>
        <w:tabs>
          <w:tab w:val="left" w:pos="1680"/>
          <w:tab w:val="clear" w:pos="840"/>
        </w:tabs>
        <w:kinsoku/>
        <w:wordWrap/>
        <w:topLinePunct w:val="0"/>
        <w:bidi w:val="0"/>
        <w:snapToGrid/>
        <w:spacing w:after="120"/>
        <w:ind w:firstLineChars="0"/>
        <w:outlineLvl w:val="9"/>
        <w:rPr>
          <w:rFonts w:hint="default" w:ascii="Arial" w:hAnsi="Arial" w:eastAsia="宋体" w:cs="Arial"/>
          <w:bCs/>
          <w:sz w:val="22"/>
          <w:szCs w:val="22"/>
          <w:highlight w:val="green"/>
        </w:rPr>
      </w:pPr>
      <w:r>
        <w:rPr>
          <w:rFonts w:hint="default" w:ascii="Arial" w:hAnsi="Arial" w:eastAsia="宋体" w:cs="Arial"/>
          <w:bCs/>
          <w:sz w:val="22"/>
          <w:szCs w:val="22"/>
          <w:highlight w:val="green"/>
        </w:rPr>
        <w:t>Taking following table as starting point to discuss which system parameters are impacted by MRSS.</w:t>
      </w:r>
    </w:p>
    <w:tbl>
      <w:tblPr>
        <w:tblStyle w:val="5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4"/>
        <w:gridCol w:w="3386"/>
      </w:tblGrid>
      <w:tr w14:paraId="511B8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44D9EB1F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b/>
                <w:bCs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b/>
                <w:bCs/>
                <w:iCs/>
                <w:sz w:val="22"/>
                <w:szCs w:val="22"/>
                <w:highlight w:val="green"/>
              </w:rPr>
              <w:t xml:space="preserve">System parameters </w:t>
            </w:r>
          </w:p>
        </w:tc>
        <w:tc>
          <w:tcPr>
            <w:tcW w:w="3386" w:type="dxa"/>
          </w:tcPr>
          <w:p w14:paraId="715B28AE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b/>
                <w:bCs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b/>
                <w:bCs/>
                <w:iCs/>
                <w:sz w:val="22"/>
                <w:szCs w:val="22"/>
                <w:highlight w:val="green"/>
              </w:rPr>
              <w:t>Whether impacted by MRSS</w:t>
            </w:r>
          </w:p>
        </w:tc>
      </w:tr>
      <w:tr w14:paraId="3666A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023BC542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cs="Arial"/>
                <w:sz w:val="22"/>
                <w:szCs w:val="22"/>
                <w:highlight w:val="green"/>
              </w:rPr>
              <w:t>Numerology</w:t>
            </w:r>
          </w:p>
        </w:tc>
        <w:tc>
          <w:tcPr>
            <w:tcW w:w="3386" w:type="dxa"/>
          </w:tcPr>
          <w:p w14:paraId="6D9015F6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Maybe impacted</w:t>
            </w:r>
          </w:p>
        </w:tc>
      </w:tr>
      <w:tr w14:paraId="7E870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461BD2FC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cs="Arial"/>
                <w:sz w:val="22"/>
                <w:szCs w:val="22"/>
                <w:highlight w:val="green"/>
              </w:rPr>
              <w:t>Channel raster</w:t>
            </w:r>
          </w:p>
        </w:tc>
        <w:tc>
          <w:tcPr>
            <w:tcW w:w="3386" w:type="dxa"/>
          </w:tcPr>
          <w:p w14:paraId="26DD518A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Maybe impacted</w:t>
            </w:r>
          </w:p>
        </w:tc>
      </w:tr>
      <w:tr w14:paraId="4337D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145CF1B4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cs="Arial"/>
                <w:sz w:val="22"/>
                <w:szCs w:val="22"/>
                <w:highlight w:val="green"/>
              </w:rPr>
              <w:t>Sync raster</w:t>
            </w:r>
          </w:p>
        </w:tc>
        <w:tc>
          <w:tcPr>
            <w:tcW w:w="3386" w:type="dxa"/>
          </w:tcPr>
          <w:p w14:paraId="0A9053DA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Maybe impacted</w:t>
            </w:r>
          </w:p>
        </w:tc>
      </w:tr>
      <w:tr w14:paraId="7F22D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78B4156D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Waveform</w:t>
            </w:r>
          </w:p>
        </w:tc>
        <w:tc>
          <w:tcPr>
            <w:tcW w:w="3386" w:type="dxa"/>
          </w:tcPr>
          <w:p w14:paraId="09823C28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FFS</w:t>
            </w:r>
          </w:p>
        </w:tc>
      </w:tr>
      <w:tr w14:paraId="425E5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184B65D3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Modulation</w:t>
            </w:r>
          </w:p>
        </w:tc>
        <w:tc>
          <w:tcPr>
            <w:tcW w:w="3386" w:type="dxa"/>
          </w:tcPr>
          <w:p w14:paraId="2A375CAC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FFS</w:t>
            </w:r>
          </w:p>
        </w:tc>
      </w:tr>
      <w:tr w14:paraId="7354F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4" w:type="dxa"/>
          </w:tcPr>
          <w:p w14:paraId="000AE0D2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Channel bandwidth</w:t>
            </w:r>
          </w:p>
        </w:tc>
        <w:tc>
          <w:tcPr>
            <w:tcW w:w="3386" w:type="dxa"/>
          </w:tcPr>
          <w:p w14:paraId="3F3B1EF7">
            <w:pPr>
              <w:pStyle w:val="15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="0" w:firstLineChars="0"/>
              <w:textAlignment w:val="auto"/>
              <w:outlineLvl w:val="9"/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</w:pPr>
            <w:r>
              <w:rPr>
                <w:rFonts w:hint="default" w:ascii="Arial" w:hAnsi="Arial" w:eastAsia="宋体" w:cs="Arial"/>
                <w:iCs/>
                <w:sz w:val="22"/>
                <w:szCs w:val="22"/>
                <w:highlight w:val="green"/>
              </w:rPr>
              <w:t>FFS</w:t>
            </w:r>
          </w:p>
        </w:tc>
      </w:tr>
    </w:tbl>
    <w:p w14:paraId="7F84BF39">
      <w:pPr>
        <w:pageBreakBefore w:val="0"/>
        <w:widowControl/>
        <w:kinsoku/>
        <w:wordWrap/>
        <w:topLinePunct w:val="0"/>
        <w:bidi w:val="0"/>
        <w:snapToGrid/>
        <w:outlineLvl w:val="9"/>
        <w:rPr>
          <w:rFonts w:hint="default" w:ascii="Arial" w:hAnsi="Arial" w:cs="Arial"/>
          <w:sz w:val="24"/>
          <w:szCs w:val="24"/>
          <w:highlight w:val="green"/>
        </w:rPr>
      </w:pPr>
    </w:p>
    <w:p w14:paraId="49B51A55">
      <w:pPr>
        <w:rPr>
          <w:rFonts w:hint="default" w:ascii="Arial" w:hAnsi="Arial" w:cs="Arial"/>
          <w:sz w:val="22"/>
          <w:szCs w:val="22"/>
        </w:rPr>
      </w:pPr>
    </w:p>
    <w:p w14:paraId="589587FE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RAN1 - </w:t>
      </w:r>
      <w:r>
        <w:rPr>
          <w:rFonts w:hint="eastAsia"/>
          <w:b/>
          <w:bCs/>
          <w:lang w:val="en-US" w:eastAsia="zh-CN"/>
        </w:rPr>
        <w:t>spectrum sharing related</w:t>
      </w:r>
      <w:r>
        <w:rPr>
          <w:b/>
          <w:bCs/>
          <w:lang w:val="en-US"/>
        </w:rPr>
        <w:t xml:space="preserve"> agreements summary</w:t>
      </w:r>
    </w:p>
    <w:p w14:paraId="60F62CE9">
      <w:pPr>
        <w:pStyle w:val="3"/>
        <w:rPr>
          <w:rFonts w:hint="default" w:ascii="Arial" w:hAnsi="Arial"/>
          <w:b/>
          <w:bCs/>
          <w:lang w:val="en-US" w:eastAsia="zh-CN"/>
        </w:rPr>
      </w:pPr>
      <w:r>
        <w:rPr>
          <w:rFonts w:hint="eastAsia" w:ascii="Arial" w:hAnsi="Arial"/>
          <w:b/>
          <w:bCs/>
          <w:lang w:val="en-US" w:eastAsia="zh-CN"/>
        </w:rPr>
        <w:t>MRSS agreements</w:t>
      </w:r>
    </w:p>
    <w:p w14:paraId="65D3249C">
      <w:pPr>
        <w:pStyle w:val="4"/>
        <w:bidi w:val="0"/>
        <w:rPr>
          <w:rFonts w:hint="eastAsia"/>
          <w:lang w:val="en-US" w:eastAsia="zh-CN"/>
        </w:rPr>
      </w:pPr>
      <w:r>
        <w:rPr>
          <w:lang w:val="en-US"/>
        </w:rPr>
        <w:t>RAN1 #12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 (</w:t>
      </w:r>
      <w:r>
        <w:rPr>
          <w:rFonts w:hint="eastAsia"/>
          <w:lang w:val="en-US" w:eastAsia="zh-CN"/>
        </w:rPr>
        <w:t>Nov</w:t>
      </w:r>
      <w:r>
        <w:rPr>
          <w:lang w:val="en-US"/>
        </w:rPr>
        <w:t>, 2025)</w:t>
      </w:r>
    </w:p>
    <w:p w14:paraId="52C6B75A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>No further agreements</w:t>
      </w:r>
      <w:r>
        <w:rPr>
          <w:rFonts w:hint="eastAsia"/>
          <w:sz w:val="20"/>
          <w:szCs w:val="20"/>
        </w:rPr>
        <w:t>.</w:t>
      </w:r>
    </w:p>
    <w:p w14:paraId="4C1C04E0">
      <w:pPr>
        <w:rPr>
          <w:rFonts w:hint="eastAsia"/>
          <w:sz w:val="20"/>
          <w:szCs w:val="20"/>
          <w:lang w:val="en-US" w:eastAsia="zh-CN"/>
        </w:rPr>
      </w:pPr>
    </w:p>
    <w:p w14:paraId="6E73C47C">
      <w:pPr>
        <w:pStyle w:val="4"/>
        <w:bidi w:val="0"/>
        <w:rPr>
          <w:rFonts w:hint="eastAsia"/>
          <w:lang w:val="en-US" w:eastAsia="zh-CN"/>
        </w:rPr>
      </w:pPr>
      <w:r>
        <w:rPr>
          <w:lang w:val="en-US"/>
        </w:rPr>
        <w:t>RAN1 #122bis (Oct, 2025)</w:t>
      </w:r>
    </w:p>
    <w:p w14:paraId="49C7BD6C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>No further agreements</w:t>
      </w:r>
      <w:r>
        <w:rPr>
          <w:rFonts w:hint="eastAsia"/>
          <w:sz w:val="20"/>
          <w:szCs w:val="20"/>
        </w:rPr>
        <w:t>.</w:t>
      </w:r>
    </w:p>
    <w:p w14:paraId="57C28029">
      <w:pPr>
        <w:rPr>
          <w:rFonts w:hint="eastAsia"/>
          <w:sz w:val="20"/>
          <w:szCs w:val="20"/>
          <w:lang w:val="en-US" w:eastAsia="zh-CN"/>
        </w:rPr>
      </w:pPr>
    </w:p>
    <w:p w14:paraId="09885C83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RAN1 #122 (Aug, 2025)</w:t>
      </w:r>
    </w:p>
    <w:p w14:paraId="07D5A373">
      <w:pPr>
        <w:spacing w:line="252" w:lineRule="auto"/>
        <w:contextualSpacing/>
        <w:rPr>
          <w:rFonts w:eastAsia="等线"/>
          <w:sz w:val="21"/>
          <w:szCs w:val="21"/>
          <w:highlight w:val="green"/>
          <w:lang w:eastAsia="zh-CN"/>
        </w:rPr>
      </w:pPr>
      <w:r>
        <w:rPr>
          <w:rFonts w:eastAsia="等线"/>
          <w:sz w:val="21"/>
          <w:szCs w:val="21"/>
          <w:highlight w:val="green"/>
          <w:lang w:eastAsia="zh-CN"/>
        </w:rPr>
        <w:t>Agreement</w:t>
      </w:r>
    </w:p>
    <w:p w14:paraId="563C1239">
      <w:pPr>
        <w:numPr>
          <w:ilvl w:val="0"/>
          <w:numId w:val="20"/>
        </w:numPr>
        <w:spacing w:line="252" w:lineRule="auto"/>
        <w:contextualSpacing/>
        <w:textAlignment w:val="baseline"/>
        <w:rPr>
          <w:rFonts w:hint="default" w:eastAsia="宋体"/>
          <w:lang w:val="en-US" w:eastAsia="zh-CN"/>
        </w:rPr>
      </w:pPr>
      <w:r>
        <w:rPr>
          <w:sz w:val="21"/>
          <w:szCs w:val="21"/>
          <w:lang w:eastAsia="zh-CN"/>
        </w:rPr>
        <w:t>Identify the high-level aspects which impact on the NR-6GR MRSS support</w:t>
      </w:r>
    </w:p>
    <w:p w14:paraId="32D155DB">
      <w:pPr>
        <w:numPr>
          <w:ilvl w:val="1"/>
          <w:numId w:val="20"/>
        </w:numPr>
        <w:spacing w:line="252" w:lineRule="auto"/>
        <w:ind w:left="880" w:leftChars="0" w:hanging="440" w:firstLineChars="0"/>
        <w:contextualSpacing/>
        <w:textAlignment w:val="baseline"/>
        <w:rPr>
          <w:rFonts w:hint="default" w:eastAsia="宋体"/>
          <w:lang w:val="en-US" w:eastAsia="zh-CN"/>
        </w:rPr>
      </w:pPr>
      <w:r>
        <w:rPr>
          <w:sz w:val="21"/>
          <w:szCs w:val="21"/>
          <w:lang w:eastAsia="zh-CN"/>
        </w:rPr>
        <w:t>Including the lessons learned from LTE-NR DSS</w:t>
      </w:r>
    </w:p>
    <w:p w14:paraId="7D08B9D9">
      <w:pPr>
        <w:numPr>
          <w:ilvl w:val="0"/>
          <w:numId w:val="0"/>
        </w:numPr>
        <w:spacing w:line="252" w:lineRule="auto"/>
        <w:ind w:left="440" w:leftChars="0"/>
        <w:contextualSpacing/>
        <w:textAlignment w:val="baseline"/>
        <w:rPr>
          <w:rFonts w:hint="default" w:eastAsia="宋体"/>
          <w:lang w:val="en-US" w:eastAsia="zh-CN"/>
        </w:rPr>
      </w:pPr>
    </w:p>
    <w:p w14:paraId="6B7FE6CD">
      <w:pPr>
        <w:pStyle w:val="3"/>
        <w:rPr>
          <w:b/>
          <w:bCs/>
          <w:lang w:val="en-US"/>
        </w:rPr>
      </w:pPr>
      <w:r>
        <w:rPr>
          <w:rFonts w:hint="eastAsia" w:ascii="Arial" w:hAnsi="Arial"/>
          <w:b/>
          <w:bCs/>
          <w:lang w:val="en-US" w:eastAsia="zh-CN"/>
        </w:rPr>
        <w:t>S</w:t>
      </w:r>
      <w:r>
        <w:rPr>
          <w:rFonts w:ascii="Arial" w:hAnsi="Arial"/>
          <w:b/>
          <w:bCs/>
          <w:lang w:val="en-US"/>
        </w:rPr>
        <w:t>ystem parameter agreements</w:t>
      </w:r>
      <w:r>
        <w:rPr>
          <w:rFonts w:hint="eastAsia" w:ascii="Arial" w:hAnsi="Arial"/>
          <w:b/>
          <w:bCs/>
          <w:lang w:val="en-US" w:eastAsia="zh-CN"/>
        </w:rPr>
        <w:t>, which may have impact on MRSS discussion</w:t>
      </w:r>
    </w:p>
    <w:p w14:paraId="4D71D3B3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Overview of 6GR air interface</w:t>
      </w:r>
    </w:p>
    <w:p w14:paraId="6DD514F6">
      <w:pPr>
        <w:pStyle w:val="5"/>
        <w:bidi w:val="0"/>
        <w:ind w:left="864" w:leftChars="0" w:hanging="864" w:firstLineChars="0"/>
        <w:rPr>
          <w:lang w:val="en-US"/>
        </w:rPr>
      </w:pPr>
      <w:r>
        <w:rPr>
          <w:lang w:val="en-US"/>
        </w:rPr>
        <w:t>RAN1 #12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 (</w:t>
      </w:r>
      <w:r>
        <w:rPr>
          <w:rFonts w:hint="eastAsia"/>
          <w:lang w:val="en-US" w:eastAsia="zh-CN"/>
        </w:rPr>
        <w:t>Nov</w:t>
      </w:r>
      <w:r>
        <w:rPr>
          <w:lang w:val="en-US"/>
        </w:rPr>
        <w:t>, 2025)</w:t>
      </w:r>
    </w:p>
    <w:p w14:paraId="29CE87D0">
      <w:pPr>
        <w:spacing w:line="252" w:lineRule="auto"/>
        <w:contextualSpacing/>
        <w:rPr>
          <w:rFonts w:eastAsia="等线"/>
          <w:sz w:val="21"/>
          <w:szCs w:val="21"/>
          <w:highlight w:val="green"/>
          <w:lang w:eastAsia="zh-CN"/>
        </w:rPr>
      </w:pPr>
      <w:r>
        <w:rPr>
          <w:rFonts w:hint="eastAsia" w:eastAsia="等线"/>
          <w:sz w:val="21"/>
          <w:szCs w:val="21"/>
          <w:highlight w:val="green"/>
          <w:lang w:eastAsia="zh-CN"/>
        </w:rPr>
        <w:t>Agreement</w:t>
      </w:r>
    </w:p>
    <w:p w14:paraId="55C31BDB">
      <w:pPr>
        <w:pStyle w:val="150"/>
        <w:numPr>
          <w:ilvl w:val="0"/>
          <w:numId w:val="21"/>
        </w:numPr>
        <w:spacing w:line="252" w:lineRule="auto"/>
        <w:ind w:leftChars="0"/>
        <w:contextualSpacing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/>
          <w:sz w:val="21"/>
          <w:szCs w:val="21"/>
          <w:lang w:val="en-US"/>
        </w:rPr>
        <w:t xml:space="preserve">For scalable 6GR design for diverse device types, RAN1 </w:t>
      </w: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 xml:space="preserve">can at least </w:t>
      </w:r>
      <w:r>
        <w:rPr>
          <w:rFonts w:ascii="Times New Roman" w:hAnsi="Times New Roman"/>
          <w:sz w:val="21"/>
          <w:szCs w:val="21"/>
          <w:lang w:val="en-US"/>
        </w:rPr>
        <w:t>consider</w:t>
      </w: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 xml:space="preserve"> the following, targeting </w:t>
      </w:r>
      <w:r>
        <w:rPr>
          <w:rFonts w:ascii="Times New Roman" w:hAnsi="Times New Roman"/>
          <w:sz w:val="21"/>
          <w:szCs w:val="21"/>
          <w:lang w:val="en-US"/>
        </w:rPr>
        <w:t>applicable to all 6G device types</w:t>
      </w: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>,</w:t>
      </w:r>
    </w:p>
    <w:p w14:paraId="75E54858">
      <w:pPr>
        <w:pStyle w:val="150"/>
        <w:numPr>
          <w:ilvl w:val="1"/>
          <w:numId w:val="21"/>
        </w:numPr>
        <w:spacing w:line="252" w:lineRule="auto"/>
        <w:ind w:leftChars="0"/>
        <w:contextualSpacing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/>
          <w:sz w:val="21"/>
          <w:szCs w:val="21"/>
          <w:lang w:val="en-US"/>
        </w:rPr>
        <w:t xml:space="preserve">Basic </w:t>
      </w:r>
      <w:r>
        <w:rPr>
          <w:rFonts w:hint="eastAsia" w:ascii="Times New Roman" w:hAnsi="Times New Roman"/>
          <w:sz w:val="21"/>
          <w:szCs w:val="21"/>
          <w:lang w:val="en-US"/>
        </w:rPr>
        <w:t>i</w:t>
      </w:r>
      <w:r>
        <w:rPr>
          <w:rFonts w:ascii="Times New Roman" w:hAnsi="Times New Roman"/>
          <w:sz w:val="21"/>
          <w:szCs w:val="21"/>
          <w:lang w:val="en-US"/>
        </w:rPr>
        <w:t>nitial access procedures</w:t>
      </w:r>
      <w:r>
        <w:rPr>
          <w:rFonts w:hint="eastAsia" w:ascii="Times New Roman" w:hAnsi="Times New Roman"/>
          <w:sz w:val="21"/>
          <w:szCs w:val="21"/>
          <w:lang w:val="en-US"/>
        </w:rPr>
        <w:t xml:space="preserve"> </w:t>
      </w:r>
      <w:r>
        <w:rPr>
          <w:rFonts w:ascii="Times New Roman" w:hAnsi="Times New Roman"/>
          <w:sz w:val="21"/>
          <w:szCs w:val="21"/>
          <w:lang w:val="en-US"/>
        </w:rPr>
        <w:t>from RAN1 perspective</w:t>
      </w:r>
    </w:p>
    <w:p w14:paraId="6E80BF16">
      <w:pPr>
        <w:pStyle w:val="150"/>
        <w:numPr>
          <w:ilvl w:val="1"/>
          <w:numId w:val="21"/>
        </w:numPr>
        <w:spacing w:line="252" w:lineRule="auto"/>
        <w:ind w:leftChars="0"/>
        <w:contextualSpacing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 w:eastAsiaTheme="minorEastAsia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 xml:space="preserve">ther </w:t>
      </w:r>
      <w:r>
        <w:rPr>
          <w:rFonts w:ascii="Times New Roman" w:hAnsi="Times New Roman"/>
          <w:sz w:val="21"/>
          <w:szCs w:val="21"/>
          <w:lang w:val="en-US"/>
        </w:rPr>
        <w:t>PHY features</w:t>
      </w: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 xml:space="preserve"> after </w:t>
      </w:r>
      <w:r>
        <w:rPr>
          <w:rFonts w:ascii="Times New Roman" w:hAnsi="Times New Roman" w:eastAsiaTheme="minorEastAsia"/>
          <w:sz w:val="21"/>
          <w:szCs w:val="21"/>
          <w:lang w:val="en-US" w:eastAsia="zh-CN"/>
        </w:rPr>
        <w:t>initial</w:t>
      </w: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 xml:space="preserve"> access procedure, e.g., </w:t>
      </w:r>
      <w:r>
        <w:rPr>
          <w:rFonts w:ascii="Times New Roman" w:hAnsi="Times New Roman" w:eastAsiaTheme="minorEastAsia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 xml:space="preserve">ther </w:t>
      </w:r>
      <w:r>
        <w:rPr>
          <w:rFonts w:ascii="Times New Roman" w:hAnsi="Times New Roman"/>
          <w:sz w:val="21"/>
          <w:szCs w:val="21"/>
          <w:lang w:val="en-US"/>
        </w:rPr>
        <w:t>DL/UL control, scheduling/HARQ</w:t>
      </w:r>
    </w:p>
    <w:p w14:paraId="13C26BDF">
      <w:pPr>
        <w:pStyle w:val="150"/>
        <w:numPr>
          <w:ilvl w:val="1"/>
          <w:numId w:val="21"/>
        </w:numPr>
        <w:spacing w:line="252" w:lineRule="auto"/>
        <w:ind w:leftChars="0"/>
        <w:contextualSpacing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hint="eastAsia" w:ascii="Times New Roman" w:hAnsi="Times New Roman"/>
          <w:sz w:val="21"/>
          <w:szCs w:val="21"/>
          <w:lang w:val="en-US"/>
        </w:rPr>
        <w:t>C</w:t>
      </w:r>
      <w:r>
        <w:rPr>
          <w:rFonts w:ascii="Times New Roman" w:hAnsi="Times New Roman"/>
          <w:sz w:val="21"/>
          <w:szCs w:val="21"/>
          <w:lang w:val="en-US"/>
        </w:rPr>
        <w:t>overage</w:t>
      </w:r>
      <w:r>
        <w:rPr>
          <w:rFonts w:hint="eastAsia" w:ascii="Times New Roman" w:hAnsi="Times New Roman"/>
          <w:sz w:val="21"/>
          <w:szCs w:val="21"/>
          <w:lang w:val="en-US"/>
        </w:rPr>
        <w:t xml:space="preserve"> features to meet the </w:t>
      </w:r>
      <w:r>
        <w:rPr>
          <w:rFonts w:ascii="Times New Roman" w:hAnsi="Times New Roman"/>
          <w:sz w:val="21"/>
          <w:szCs w:val="21"/>
          <w:lang w:val="en-US"/>
        </w:rPr>
        <w:t>identified coverage target</w:t>
      </w:r>
    </w:p>
    <w:p w14:paraId="17256725">
      <w:pPr>
        <w:pStyle w:val="150"/>
        <w:numPr>
          <w:ilvl w:val="1"/>
          <w:numId w:val="21"/>
        </w:numPr>
        <w:spacing w:line="252" w:lineRule="auto"/>
        <w:ind w:leftChars="0"/>
        <w:contextualSpacing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/>
          <w:sz w:val="21"/>
          <w:szCs w:val="21"/>
          <w:lang w:val="en-US"/>
        </w:rPr>
        <w:t>Energy saving</w:t>
      </w:r>
      <w:r>
        <w:rPr>
          <w:rFonts w:hint="eastAsia" w:ascii="Times New Roman" w:hAnsi="Times New Roman"/>
          <w:sz w:val="21"/>
          <w:szCs w:val="21"/>
          <w:lang w:val="en-US"/>
        </w:rPr>
        <w:t xml:space="preserve"> both at BS and UE sides</w:t>
      </w:r>
    </w:p>
    <w:p w14:paraId="1A32E930">
      <w:pPr>
        <w:pStyle w:val="150"/>
        <w:numPr>
          <w:ilvl w:val="1"/>
          <w:numId w:val="21"/>
        </w:numPr>
        <w:spacing w:line="252" w:lineRule="auto"/>
        <w:ind w:leftChars="0"/>
        <w:contextualSpacing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>MRSS</w:t>
      </w:r>
    </w:p>
    <w:p w14:paraId="4A99BD44">
      <w:pPr>
        <w:pStyle w:val="150"/>
        <w:numPr>
          <w:ilvl w:val="1"/>
          <w:numId w:val="21"/>
        </w:numPr>
        <w:spacing w:line="252" w:lineRule="auto"/>
        <w:ind w:leftChars="0"/>
        <w:contextualSpacing/>
        <w:jc w:val="both"/>
        <w:rPr>
          <w:lang w:val="en-US"/>
        </w:rPr>
      </w:pP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 xml:space="preserve">Note: whether these features are supported, </w:t>
      </w:r>
      <w:r>
        <w:rPr>
          <w:rFonts w:ascii="Times New Roman" w:hAnsi="Times New Roman" w:eastAsiaTheme="minorEastAsia"/>
          <w:sz w:val="21"/>
          <w:szCs w:val="21"/>
          <w:lang w:val="en-US" w:eastAsia="zh-CN"/>
        </w:rPr>
        <w:t>mandatory</w:t>
      </w:r>
      <w:r>
        <w:rPr>
          <w:rFonts w:hint="eastAsia" w:ascii="Times New Roman" w:hAnsi="Times New Roman" w:eastAsiaTheme="minorEastAsia"/>
          <w:sz w:val="21"/>
          <w:szCs w:val="21"/>
          <w:lang w:val="en-US" w:eastAsia="zh-CN"/>
        </w:rPr>
        <w:t xml:space="preserve"> or optional is separate discussion</w:t>
      </w:r>
    </w:p>
    <w:p w14:paraId="24C648DA">
      <w:pPr>
        <w:pStyle w:val="5"/>
        <w:bidi w:val="0"/>
        <w:ind w:left="864" w:leftChars="0" w:hanging="864" w:firstLineChars="0"/>
        <w:rPr>
          <w:lang w:val="en-US"/>
        </w:rPr>
      </w:pPr>
      <w:r>
        <w:rPr>
          <w:lang w:val="en-US"/>
        </w:rPr>
        <w:t>RAN1 #122bis (Oct, 2025)</w:t>
      </w:r>
    </w:p>
    <w:p w14:paraId="6D4A57F1">
      <w:pPr>
        <w:spacing w:line="252" w:lineRule="auto"/>
        <w:contextualSpacing/>
        <w:jc w:val="both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581CAB44">
      <w:pPr>
        <w:pStyle w:val="150"/>
        <w:numPr>
          <w:ilvl w:val="0"/>
          <w:numId w:val="21"/>
        </w:numPr>
        <w:overflowPunct/>
        <w:autoSpaceDE/>
        <w:autoSpaceDN/>
        <w:adjustRightInd/>
        <w:spacing w:line="252" w:lineRule="auto"/>
        <w:ind w:left="284" w:hanging="284" w:firstLineChars="0"/>
        <w:contextualSpacing/>
        <w:jc w:val="both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RAN1 provides</w:t>
      </w:r>
      <w:r>
        <w:rPr>
          <w:rFonts w:hint="eastAsia" w:eastAsiaTheme="minorEastAsia"/>
          <w:sz w:val="20"/>
          <w:szCs w:val="20"/>
        </w:rPr>
        <w:t xml:space="preserve"> methodology and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 w:eastAsiaTheme="minorEastAsia"/>
          <w:sz w:val="20"/>
          <w:szCs w:val="20"/>
        </w:rPr>
        <w:t xml:space="preserve">corresponding </w:t>
      </w:r>
      <w:r>
        <w:rPr>
          <w:rFonts w:hint="eastAsia"/>
          <w:sz w:val="20"/>
          <w:szCs w:val="20"/>
        </w:rPr>
        <w:t>initial analysis of potentially achievable coverage</w:t>
      </w:r>
      <w:r>
        <w:rPr>
          <w:rFonts w:hint="eastAsia" w:eastAsiaTheme="minor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to RAN#110 to determine the coverage target(s)</w:t>
      </w:r>
    </w:p>
    <w:p w14:paraId="5EE32D23">
      <w:pPr>
        <w:spacing w:line="252" w:lineRule="auto"/>
        <w:contextualSpacing/>
        <w:jc w:val="both"/>
        <w:rPr>
          <w:rFonts w:eastAsiaTheme="minorEastAsia"/>
          <w:sz w:val="20"/>
          <w:szCs w:val="20"/>
        </w:rPr>
      </w:pPr>
    </w:p>
    <w:p w14:paraId="4C4784F6">
      <w:pPr>
        <w:spacing w:line="252" w:lineRule="auto"/>
        <w:contextualSpacing/>
        <w:jc w:val="both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6EC4A4C3">
      <w:pPr>
        <w:pStyle w:val="150"/>
        <w:numPr>
          <w:ilvl w:val="0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High-level aspects to consider for the </w:t>
      </w:r>
      <w:r>
        <w:rPr>
          <w:rFonts w:eastAsiaTheme="minorEastAsia"/>
          <w:sz w:val="20"/>
          <w:szCs w:val="20"/>
        </w:rPr>
        <w:t>6GR</w:t>
      </w:r>
      <w:r>
        <w:rPr>
          <w:sz w:val="20"/>
          <w:szCs w:val="20"/>
        </w:rPr>
        <w:t xml:space="preserve"> sync</w:t>
      </w:r>
      <w:r>
        <w:rPr>
          <w:rFonts w:hint="eastAsia" w:eastAsiaTheme="minorEastAsia"/>
          <w:sz w:val="20"/>
          <w:szCs w:val="20"/>
        </w:rPr>
        <w:t xml:space="preserve"> signal</w:t>
      </w:r>
      <w:r>
        <w:rPr>
          <w:sz w:val="20"/>
          <w:szCs w:val="20"/>
        </w:rPr>
        <w:t xml:space="preserve"> structure include, but not limited to</w:t>
      </w:r>
    </w:p>
    <w:p w14:paraId="08F1AD0D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Sync raster design</w:t>
      </w:r>
    </w:p>
    <w:p w14:paraId="3A8887E4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Spectrum allocation</w:t>
      </w:r>
    </w:p>
    <w:p w14:paraId="22D20A33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smallest maximum supported RF and BB UE BW without spectrum aggregation</w:t>
      </w:r>
    </w:p>
    <w:p w14:paraId="6EDE0E3B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mobile broadband service requirements as high priority</w:t>
      </w:r>
    </w:p>
    <w:p w14:paraId="57D4E71E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Energy efficiency for both BS and UE</w:t>
      </w:r>
    </w:p>
    <w:p w14:paraId="1DB34324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Detection/tracking performance, latency, and complexity</w:t>
      </w:r>
    </w:p>
    <w:p w14:paraId="01237C5F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Including initial cell search</w:t>
      </w:r>
    </w:p>
    <w:p w14:paraId="4966F625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Coverage target</w:t>
      </w:r>
    </w:p>
    <w:p w14:paraId="0DFDB4AD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Common design for diverse device types</w:t>
      </w:r>
    </w:p>
    <w:p w14:paraId="5908F782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Consideration of the supported deployment</w:t>
      </w:r>
    </w:p>
    <w:p w14:paraId="480C2BF0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Consideration on whether the </w:t>
      </w:r>
      <w:r>
        <w:rPr>
          <w:rFonts w:hint="eastAsia"/>
          <w:sz w:val="20"/>
          <w:szCs w:val="20"/>
        </w:rPr>
        <w:t>single</w:t>
      </w:r>
      <w:r>
        <w:rPr>
          <w:sz w:val="20"/>
          <w:szCs w:val="20"/>
        </w:rPr>
        <w:t xml:space="preserve"> sync</w:t>
      </w:r>
      <w:r>
        <w:rPr>
          <w:rFonts w:hint="eastAsia"/>
          <w:sz w:val="20"/>
          <w:szCs w:val="20"/>
        </w:rPr>
        <w:t xml:space="preserve"> signal structure</w:t>
      </w:r>
      <w:r>
        <w:rPr>
          <w:sz w:val="20"/>
          <w:szCs w:val="20"/>
        </w:rPr>
        <w:t xml:space="preserve"> is</w:t>
      </w:r>
      <w:r>
        <w:rPr>
          <w:rFonts w:hint="eastAsia"/>
          <w:sz w:val="20"/>
          <w:szCs w:val="20"/>
        </w:rPr>
        <w:t xml:space="preserve"> sufficient</w:t>
      </w:r>
    </w:p>
    <w:p w14:paraId="15FE7DBE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Note: Aspects impacting on the periodicity is to be discussed under AI11.5</w:t>
      </w:r>
    </w:p>
    <w:p w14:paraId="5F2A968C">
      <w:pPr>
        <w:spacing w:line="252" w:lineRule="auto"/>
        <w:contextualSpacing/>
        <w:jc w:val="both"/>
        <w:rPr>
          <w:rFonts w:eastAsiaTheme="minorEastAsia"/>
          <w:sz w:val="20"/>
          <w:szCs w:val="20"/>
        </w:rPr>
      </w:pPr>
    </w:p>
    <w:p w14:paraId="7FDE5F5C">
      <w:pPr>
        <w:spacing w:line="252" w:lineRule="auto"/>
        <w:contextualSpacing/>
        <w:jc w:val="both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10FD38D9">
      <w:pPr>
        <w:pStyle w:val="150"/>
        <w:numPr>
          <w:ilvl w:val="0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The aspects to consider for </w:t>
      </w:r>
      <w:r>
        <w:rPr>
          <w:rFonts w:eastAsiaTheme="minorEastAsia"/>
          <w:sz w:val="20"/>
          <w:szCs w:val="20"/>
        </w:rPr>
        <w:t>supporting</w:t>
      </w:r>
      <w:r>
        <w:rPr>
          <w:sz w:val="20"/>
          <w:szCs w:val="20"/>
        </w:rPr>
        <w:t xml:space="preserve"> NTN include, but not limited to</w:t>
      </w:r>
    </w:p>
    <w:p w14:paraId="5D7A8A03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Initial access, including cell search and SSB periodicity</w:t>
      </w:r>
    </w:p>
    <w:p w14:paraId="410D833C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Coverage</w:t>
      </w:r>
    </w:p>
    <w:p w14:paraId="3E706F16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Duplexing</w:t>
      </w:r>
    </w:p>
    <w:p w14:paraId="7A62741C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Capacity</w:t>
      </w:r>
    </w:p>
    <w:p w14:paraId="2E0D3D33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Signalling overhead</w:t>
      </w:r>
    </w:p>
    <w:p w14:paraId="4CF19E13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GNSS-less/resilient/based operation</w:t>
      </w:r>
    </w:p>
    <w:p w14:paraId="6C4A22DB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Large/varying doppler and propagation delay</w:t>
      </w:r>
    </w:p>
    <w:p w14:paraId="7328113C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Beamforming / beam management / beam hopping</w:t>
      </w:r>
    </w:p>
    <w:p w14:paraId="632A175E">
      <w:pPr>
        <w:spacing w:line="252" w:lineRule="auto"/>
        <w:contextualSpacing/>
        <w:jc w:val="both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Note:</w:t>
      </w:r>
    </w:p>
    <w:p w14:paraId="60CF52A1">
      <w:pPr>
        <w:pStyle w:val="150"/>
        <w:numPr>
          <w:ilvl w:val="0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High-level aspects to </w:t>
      </w:r>
      <w:r>
        <w:rPr>
          <w:rFonts w:eastAsiaTheme="minorEastAsia"/>
          <w:sz w:val="20"/>
          <w:szCs w:val="20"/>
        </w:rPr>
        <w:t>consider</w:t>
      </w:r>
      <w:r>
        <w:rPr>
          <w:sz w:val="20"/>
          <w:szCs w:val="20"/>
        </w:rPr>
        <w:t xml:space="preserve"> to</w:t>
      </w:r>
      <w:r>
        <w:rPr>
          <w:rFonts w:hint="eastAsia"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>enable lower CAPEX/OPEX with respect to current networks include, but not limited to</w:t>
      </w:r>
    </w:p>
    <w:p w14:paraId="0CA1D065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UE/NW implementation complexity</w:t>
      </w:r>
    </w:p>
    <w:p w14:paraId="36C4675E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UE/NW energy efficiency</w:t>
      </w:r>
    </w:p>
    <w:p w14:paraId="27BE4F3A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MRSS</w:t>
      </w:r>
    </w:p>
    <w:p w14:paraId="4AF221E3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sz w:val="20"/>
          <w:szCs w:val="20"/>
        </w:rPr>
        <w:t>Spectrum efficiency</w:t>
      </w:r>
    </w:p>
    <w:p w14:paraId="3EFF8436">
      <w:pPr>
        <w:rPr>
          <w:lang w:eastAsia="en-US"/>
        </w:rPr>
      </w:pPr>
    </w:p>
    <w:p w14:paraId="7A189029">
      <w:pPr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1B5F6118">
      <w:pPr>
        <w:snapToGrid w:val="0"/>
        <w:jc w:val="both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For communication, 6GR considers NR</w:t>
      </w:r>
      <w:r>
        <w:rPr>
          <w:rFonts w:eastAsiaTheme="minorEastAsia"/>
          <w:sz w:val="20"/>
          <w:szCs w:val="20"/>
        </w:rPr>
        <w:t xml:space="preserve"> frame structure used as a starting point </w:t>
      </w:r>
      <w:r>
        <w:rPr>
          <w:rFonts w:hint="eastAsia" w:eastAsiaTheme="minorEastAsia"/>
          <w:sz w:val="20"/>
          <w:szCs w:val="20"/>
        </w:rPr>
        <w:t>for</w:t>
      </w:r>
      <w:r>
        <w:rPr>
          <w:rFonts w:eastAsiaTheme="minorEastAsia"/>
          <w:sz w:val="20"/>
          <w:szCs w:val="20"/>
        </w:rPr>
        <w:t xml:space="preserve"> </w:t>
      </w:r>
      <w:r>
        <w:rPr>
          <w:rFonts w:hint="eastAsia" w:eastAsiaTheme="minorEastAsia"/>
          <w:sz w:val="20"/>
          <w:szCs w:val="20"/>
        </w:rPr>
        <w:t>the study item,</w:t>
      </w:r>
    </w:p>
    <w:p w14:paraId="351C9449">
      <w:pPr>
        <w:pStyle w:val="150"/>
        <w:numPr>
          <w:ilvl w:val="1"/>
          <w:numId w:val="23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Resource defined by one subcarrier and one symbol is called as resource element (RE). </w:t>
      </w:r>
    </w:p>
    <w:p w14:paraId="247181B3">
      <w:pPr>
        <w:pStyle w:val="150"/>
        <w:numPr>
          <w:ilvl w:val="1"/>
          <w:numId w:val="23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Resource block (RB) is defined </w:t>
      </w:r>
      <w:r>
        <w:rPr>
          <w:rFonts w:eastAsiaTheme="minorEastAsia"/>
          <w:sz w:val="20"/>
          <w:szCs w:val="20"/>
        </w:rPr>
        <w:t xml:space="preserve">where the number of </w:t>
      </w:r>
      <w:r>
        <w:rPr>
          <w:rFonts w:hint="eastAsia" w:eastAsiaTheme="minorEastAsia"/>
          <w:sz w:val="20"/>
          <w:szCs w:val="20"/>
        </w:rPr>
        <w:t xml:space="preserve">consecutive </w:t>
      </w:r>
      <w:r>
        <w:rPr>
          <w:rFonts w:eastAsiaTheme="minorEastAsia"/>
          <w:sz w:val="20"/>
          <w:szCs w:val="20"/>
        </w:rPr>
        <w:t>subcarriers per RB is the same for all numerologies</w:t>
      </w:r>
      <w:r>
        <w:rPr>
          <w:rFonts w:hint="eastAsia" w:eastAsiaTheme="minorEastAsia"/>
          <w:sz w:val="20"/>
          <w:szCs w:val="20"/>
        </w:rPr>
        <w:t xml:space="preserve"> and</w:t>
      </w:r>
      <w:r>
        <w:rPr>
          <w:rFonts w:eastAsiaTheme="minorEastAsia"/>
          <w:sz w:val="20"/>
          <w:szCs w:val="20"/>
        </w:rPr>
        <w:t xml:space="preserve"> the number of subcarriers per RB is 12</w:t>
      </w:r>
    </w:p>
    <w:p w14:paraId="318966F3">
      <w:pPr>
        <w:pStyle w:val="150"/>
        <w:numPr>
          <w:ilvl w:val="1"/>
          <w:numId w:val="23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Radio Frame length is 10ms</w:t>
      </w:r>
    </w:p>
    <w:p w14:paraId="7F3F5795">
      <w:pPr>
        <w:pStyle w:val="150"/>
        <w:numPr>
          <w:ilvl w:val="1"/>
          <w:numId w:val="23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E</w:t>
      </w:r>
      <w:r>
        <w:rPr>
          <w:sz w:val="20"/>
          <w:szCs w:val="20"/>
        </w:rPr>
        <w:t xml:space="preserve">ach </w:t>
      </w:r>
      <w:r>
        <w:rPr>
          <w:rFonts w:cstheme="minorHAnsi"/>
          <w:sz w:val="20"/>
          <w:szCs w:val="20"/>
        </w:rPr>
        <w:t>radio frame</w:t>
      </w:r>
      <w:r>
        <w:rPr>
          <w:sz w:val="20"/>
          <w:szCs w:val="20"/>
        </w:rPr>
        <w:t xml:space="preserve"> is split into 10 subframes, each with a duration of 1 ms</w:t>
      </w:r>
    </w:p>
    <w:p w14:paraId="3C0FF121">
      <w:pPr>
        <w:pStyle w:val="150"/>
        <w:numPr>
          <w:ilvl w:val="1"/>
          <w:numId w:val="23"/>
        </w:numPr>
        <w:overflowPunct/>
        <w:autoSpaceDE/>
        <w:autoSpaceDN/>
        <w:adjustRightInd/>
        <w:snapToGrid w:val="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For given SCS and for given symbol, the symbol duration, normal CP length and boundary is same as NR design.</w:t>
      </w:r>
    </w:p>
    <w:p w14:paraId="4AA25E86">
      <w:pPr>
        <w:pStyle w:val="150"/>
        <w:numPr>
          <w:ilvl w:val="1"/>
          <w:numId w:val="23"/>
        </w:numPr>
        <w:overflowPunct/>
        <w:autoSpaceDE/>
        <w:autoSpaceDN/>
        <w:adjustRightInd/>
        <w:spacing w:after="160"/>
        <w:ind w:firstLineChars="0"/>
        <w:jc w:val="both"/>
        <w:textAlignment w:val="auto"/>
        <w:rPr>
          <w:rFonts w:eastAsiaTheme="minorEastAsia"/>
          <w:sz w:val="20"/>
          <w:szCs w:val="20"/>
        </w:rPr>
      </w:pPr>
      <w:r>
        <w:rPr>
          <w:rFonts w:hint="eastAsia" w:eastAsiaTheme="minorEastAsia" w:cstheme="minorHAnsi"/>
          <w:sz w:val="20"/>
          <w:szCs w:val="20"/>
        </w:rPr>
        <w:t xml:space="preserve">A slot is defined as supporting </w:t>
      </w:r>
      <w:r>
        <w:rPr>
          <w:rFonts w:cstheme="minorHAnsi"/>
          <w:sz w:val="20"/>
          <w:szCs w:val="20"/>
        </w:rPr>
        <w:t xml:space="preserve">14 </w:t>
      </w:r>
      <w:r>
        <w:rPr>
          <w:rFonts w:hint="eastAsia" w:eastAsiaTheme="minorEastAsia" w:cstheme="minorHAnsi"/>
          <w:sz w:val="20"/>
          <w:szCs w:val="20"/>
        </w:rPr>
        <w:t xml:space="preserve">consecutive </w:t>
      </w:r>
      <w:r>
        <w:rPr>
          <w:rFonts w:cstheme="minorHAnsi"/>
          <w:sz w:val="20"/>
          <w:szCs w:val="20"/>
        </w:rPr>
        <w:t>s</w:t>
      </w:r>
      <w:r>
        <w:rPr>
          <w:rFonts w:eastAsiaTheme="minorEastAsia" w:cstheme="minorHAnsi"/>
          <w:sz w:val="20"/>
          <w:szCs w:val="20"/>
        </w:rPr>
        <w:t>ymbol</w:t>
      </w:r>
      <w:r>
        <w:rPr>
          <w:rFonts w:hint="eastAsia" w:eastAsiaTheme="minorEastAsia" w:cstheme="minorHAnsi"/>
          <w:sz w:val="20"/>
          <w:szCs w:val="20"/>
        </w:rPr>
        <w:t>s</w:t>
      </w:r>
      <w:r>
        <w:rPr>
          <w:rFonts w:eastAsiaTheme="minorEastAsia" w:cstheme="minorHAnsi"/>
          <w:sz w:val="20"/>
          <w:szCs w:val="20"/>
        </w:rPr>
        <w:t xml:space="preserve"> </w:t>
      </w:r>
      <w:r>
        <w:rPr>
          <w:rFonts w:hint="eastAsia" w:eastAsiaTheme="minorEastAsia" w:cstheme="minorHAnsi"/>
          <w:sz w:val="20"/>
          <w:szCs w:val="20"/>
        </w:rPr>
        <w:t xml:space="preserve">for </w:t>
      </w:r>
      <w:r>
        <w:rPr>
          <w:rFonts w:hint="eastAsia" w:eastAsia="Malgun Gothic" w:cstheme="minorHAnsi"/>
          <w:sz w:val="20"/>
          <w:szCs w:val="20"/>
          <w:lang w:eastAsia="ko-KR"/>
        </w:rPr>
        <w:t>normal CP case and all subcarrier spacings</w:t>
      </w:r>
      <w:r>
        <w:rPr>
          <w:rFonts w:hint="eastAsia" w:eastAsiaTheme="minorEastAsia" w:cstheme="minorHAnsi"/>
          <w:sz w:val="20"/>
          <w:szCs w:val="20"/>
        </w:rPr>
        <w:t>.</w:t>
      </w:r>
    </w:p>
    <w:p w14:paraId="06AB70F1">
      <w:pPr>
        <w:rPr>
          <w:lang w:eastAsia="en-US"/>
        </w:rPr>
      </w:pPr>
    </w:p>
    <w:p w14:paraId="5B378438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Waveform</w:t>
      </w:r>
    </w:p>
    <w:p w14:paraId="42EAFD0B">
      <w:pPr>
        <w:pStyle w:val="5"/>
        <w:bidi w:val="0"/>
        <w:rPr>
          <w:lang w:val="en-US"/>
        </w:rPr>
      </w:pPr>
      <w:r>
        <w:rPr>
          <w:lang w:val="en-US"/>
        </w:rPr>
        <w:t>RAN1 #12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 (</w:t>
      </w:r>
      <w:r>
        <w:rPr>
          <w:rFonts w:hint="eastAsia"/>
          <w:lang w:val="en-US" w:eastAsia="zh-CN"/>
        </w:rPr>
        <w:t>Nov</w:t>
      </w:r>
      <w:r>
        <w:rPr>
          <w:lang w:val="en-US"/>
        </w:rPr>
        <w:t>, 2025)</w:t>
      </w:r>
    </w:p>
    <w:p w14:paraId="34775CAB">
      <w:pPr>
        <w:rPr>
          <w:rFonts w:hint="eastAsia" w:eastAsiaTheme="minorEastAsia"/>
          <w:sz w:val="20"/>
          <w:szCs w:val="20"/>
          <w:highlight w:val="green"/>
          <w:lang w:val="en-US" w:eastAsia="zh-CN"/>
        </w:rPr>
      </w:pPr>
      <w:r>
        <w:rPr>
          <w:rFonts w:hint="eastAsia" w:eastAsiaTheme="minorEastAsia"/>
          <w:sz w:val="20"/>
          <w:szCs w:val="20"/>
          <w:highlight w:val="green"/>
          <w:lang w:val="en-US" w:eastAsia="zh-CN"/>
        </w:rPr>
        <w:t>Agreement</w:t>
      </w:r>
    </w:p>
    <w:p w14:paraId="20F78C30">
      <w:pPr>
        <w:snapToGrid w:val="0"/>
        <w:spacing w:after="120" w:line="259" w:lineRule="auto"/>
        <w:jc w:val="both"/>
        <w:rPr>
          <w:rFonts w:hint="eastAsia" w:eastAsiaTheme="minorEastAsia"/>
          <w:sz w:val="20"/>
          <w:szCs w:val="20"/>
          <w:lang w:val="en-US" w:eastAsia="zh-CN"/>
        </w:rPr>
      </w:pPr>
      <w:r>
        <w:rPr>
          <w:rFonts w:hint="eastAsia" w:eastAsiaTheme="minorEastAsia"/>
          <w:sz w:val="20"/>
          <w:szCs w:val="20"/>
          <w:lang w:val="en-US" w:eastAsia="zh-CN"/>
        </w:rPr>
        <w:t>Add the following metrics for UL PAPR reduction to the existing agreement (made in RAN1#122b)</w:t>
      </w:r>
    </w:p>
    <w:p w14:paraId="53C9DE82">
      <w:pPr>
        <w:pStyle w:val="150"/>
        <w:numPr>
          <w:ilvl w:val="0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Net gain@10% BLER assuming similar spectral efficiency and</w:t>
      </w:r>
      <w:r>
        <w:rPr>
          <w:rFonts w:hint="eastAsia"/>
          <w:sz w:val="20"/>
          <w:szCs w:val="20"/>
          <w:lang w:val="en-US" w:eastAsia="zh-CN"/>
        </w:rPr>
        <w:t xml:space="preserve"> same occupied</w:t>
      </w:r>
      <w:r>
        <w:rPr>
          <w:sz w:val="20"/>
          <w:szCs w:val="20"/>
          <w:lang w:val="en-US" w:eastAsia="zh-CN"/>
        </w:rPr>
        <w:t xml:space="preserve"> bandwidth for each compared method</w:t>
      </w:r>
    </w:p>
    <w:p w14:paraId="0E4D1E54">
      <w:pPr>
        <w:pStyle w:val="150"/>
        <w:numPr>
          <w:ilvl w:val="0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lang w:val="en-US"/>
        </w:rPr>
      </w:pPr>
      <w:r>
        <w:rPr>
          <w:sz w:val="20"/>
          <w:szCs w:val="20"/>
          <w:lang w:val="en-US" w:eastAsia="zh-CN"/>
        </w:rPr>
        <w:t>ACLR, EVM, IBE</w:t>
      </w:r>
    </w:p>
    <w:p w14:paraId="3C1B9A4E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3A91A256">
      <w:pPr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000D979C">
      <w:pPr>
        <w:snapToGrid w:val="0"/>
        <w:spacing w:after="120" w:line="259" w:lineRule="auto"/>
        <w:jc w:val="both"/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Final LS R1-2508069 is endorsed.</w:t>
      </w:r>
    </w:p>
    <w:p w14:paraId="247DF166">
      <w:pPr>
        <w:snapToGrid w:val="0"/>
        <w:spacing w:after="120" w:line="259" w:lineRule="auto"/>
        <w:jc w:val="both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0EA2929A">
      <w:pPr>
        <w:pStyle w:val="150"/>
        <w:numPr>
          <w:ilvl w:val="0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sz w:val="20"/>
          <w:szCs w:val="20"/>
        </w:rPr>
        <w:t>For uplink low-PAPR proposals</w:t>
      </w:r>
      <w:r>
        <w:rPr>
          <w:rFonts w:hint="eastAsia" w:eastAsiaTheme="minorEastAsia"/>
          <w:sz w:val="20"/>
          <w:szCs w:val="20"/>
        </w:rPr>
        <w:t>,</w:t>
      </w:r>
      <w:r>
        <w:rPr>
          <w:sz w:val="20"/>
          <w:szCs w:val="20"/>
        </w:rPr>
        <w:t xml:space="preserve"> the </w:t>
      </w:r>
      <w:r>
        <w:rPr>
          <w:rFonts w:hint="eastAsia" w:eastAsiaTheme="minorEastAsia"/>
          <w:sz w:val="20"/>
          <w:szCs w:val="20"/>
        </w:rPr>
        <w:t xml:space="preserve">link level </w:t>
      </w:r>
      <w:r>
        <w:rPr>
          <w:sz w:val="20"/>
          <w:szCs w:val="20"/>
        </w:rPr>
        <w:t>performance evaluation criterion is Net Gain</w:t>
      </w:r>
      <w:r>
        <w:rPr>
          <w:rFonts w:hint="eastAsia" w:eastAsiaTheme="minorEastAsia"/>
          <w:sz w:val="20"/>
          <w:szCs w:val="20"/>
        </w:rPr>
        <w:t xml:space="preserve"> assuming same </w:t>
      </w:r>
      <w:r>
        <w:rPr>
          <w:rFonts w:eastAsiaTheme="minorEastAsia"/>
          <w:sz w:val="20"/>
          <w:szCs w:val="20"/>
        </w:rPr>
        <w:t>spectrum</w:t>
      </w:r>
      <w:r>
        <w:rPr>
          <w:rFonts w:hint="eastAsia" w:eastAsiaTheme="minorEastAsia"/>
          <w:sz w:val="20"/>
          <w:szCs w:val="20"/>
        </w:rPr>
        <w:t xml:space="preserve"> efficiency as the reference </w:t>
      </w:r>
    </w:p>
    <w:p w14:paraId="0DDED612">
      <w:pPr>
        <w:pStyle w:val="150"/>
        <w:numPr>
          <w:ilvl w:val="1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sz w:val="20"/>
          <w:szCs w:val="20"/>
        </w:rPr>
        <w:t>Net Gain [dB] = Tx power gain</w:t>
      </w:r>
      <w:r>
        <w:rPr>
          <w:rFonts w:hint="eastAsia" w:eastAsiaTheme="minorEastAsia"/>
          <w:sz w:val="20"/>
          <w:szCs w:val="20"/>
        </w:rPr>
        <w:t xml:space="preserve"> relative to the reference</w:t>
      </w:r>
      <w:r>
        <w:rPr>
          <w:sz w:val="20"/>
          <w:szCs w:val="20"/>
        </w:rPr>
        <w:t xml:space="preserve"> – </w:t>
      </w:r>
      <w:r>
        <w:rPr>
          <w:rFonts w:hint="eastAsia" w:eastAsiaTheme="minorEastAsia"/>
          <w:sz w:val="20"/>
          <w:szCs w:val="20"/>
        </w:rPr>
        <w:t xml:space="preserve">SNR </w:t>
      </w:r>
      <w:r>
        <w:rPr>
          <w:rFonts w:eastAsiaTheme="minorEastAsia"/>
          <w:sz w:val="20"/>
          <w:szCs w:val="20"/>
        </w:rPr>
        <w:t>degradation</w:t>
      </w:r>
      <w:r>
        <w:rPr>
          <w:sz w:val="20"/>
          <w:szCs w:val="20"/>
        </w:rPr>
        <w:t xml:space="preserve"> relative to the reference @10% BLER</w:t>
      </w:r>
    </w:p>
    <w:p w14:paraId="38C725E4">
      <w:pPr>
        <w:pStyle w:val="150"/>
        <w:numPr>
          <w:ilvl w:val="2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sz w:val="20"/>
          <w:szCs w:val="20"/>
        </w:rPr>
        <w:t>A realistic PA model should be used</w:t>
      </w:r>
    </w:p>
    <w:p w14:paraId="4B055BE4">
      <w:pPr>
        <w:pStyle w:val="150"/>
        <w:numPr>
          <w:ilvl w:val="2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When calculating the Tx power gain, the RAN4 metrics on the Tx power should be taken into account. </w:t>
      </w:r>
    </w:p>
    <w:p w14:paraId="27A31F48">
      <w:pPr>
        <w:pStyle w:val="150"/>
        <w:numPr>
          <w:ilvl w:val="2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sz w:val="20"/>
          <w:szCs w:val="20"/>
        </w:rPr>
        <w:t>For SNR degradation, fading channel and non-ideal channel estimation, including DMRS configuration, and equalization is encouraged.</w:t>
      </w:r>
    </w:p>
    <w:p w14:paraId="37F3E4C0">
      <w:pPr>
        <w:pStyle w:val="150"/>
        <w:numPr>
          <w:ilvl w:val="2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FFS: </w:t>
      </w:r>
      <w:r>
        <w:rPr>
          <w:rFonts w:eastAsiaTheme="minorEastAsia"/>
          <w:sz w:val="20"/>
          <w:szCs w:val="20"/>
        </w:rPr>
        <w:t>Other</w:t>
      </w:r>
      <w:r>
        <w:rPr>
          <w:rFonts w:hint="eastAsia" w:eastAsiaTheme="minorEastAsia"/>
          <w:sz w:val="20"/>
          <w:szCs w:val="20"/>
        </w:rPr>
        <w:t xml:space="preserve"> e</w:t>
      </w:r>
      <w:r>
        <w:rPr>
          <w:sz w:val="20"/>
          <w:szCs w:val="20"/>
        </w:rPr>
        <w:t>valuation metrics</w:t>
      </w:r>
    </w:p>
    <w:p w14:paraId="229B5A31">
      <w:pPr>
        <w:pStyle w:val="150"/>
        <w:numPr>
          <w:ilvl w:val="2"/>
          <w:numId w:val="22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Note: Companies to report how to calculate the Tx power gain,</w:t>
      </w:r>
      <w:r>
        <w:rPr>
          <w:sz w:val="20"/>
          <w:szCs w:val="20"/>
        </w:rPr>
        <w:t xml:space="preserve"> modulation and coding</w:t>
      </w:r>
    </w:p>
    <w:p w14:paraId="3CDFC55F">
      <w:pPr>
        <w:snapToGrid w:val="0"/>
        <w:spacing w:after="120" w:line="259" w:lineRule="auto"/>
        <w:jc w:val="both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6FA3907F">
      <w:pPr>
        <w:pStyle w:val="150"/>
        <w:numPr>
          <w:ilvl w:val="0"/>
          <w:numId w:val="24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Study the evaluation method for evaluating </w:t>
      </w:r>
      <w:r>
        <w:rPr>
          <w:sz w:val="20"/>
          <w:szCs w:val="20"/>
        </w:rPr>
        <w:t>DFT-s-OFDM</w:t>
      </w:r>
      <w:r>
        <w:rPr>
          <w:rFonts w:hint="eastAsia" w:eastAsiaTheme="minorEastAsia"/>
          <w:sz w:val="20"/>
          <w:szCs w:val="20"/>
        </w:rPr>
        <w:t xml:space="preserve"> for UL</w:t>
      </w:r>
      <w:r>
        <w:rPr>
          <w:sz w:val="20"/>
          <w:szCs w:val="20"/>
        </w:rPr>
        <w:t xml:space="preserve"> with </w:t>
      </w:r>
      <w:r>
        <w:rPr>
          <w:rFonts w:hint="eastAsia" w:eastAsiaTheme="minorEastAsia"/>
          <w:sz w:val="20"/>
          <w:szCs w:val="20"/>
        </w:rPr>
        <w:t>number of layers</w:t>
      </w:r>
      <w:r>
        <w:rPr>
          <w:sz w:val="20"/>
          <w:szCs w:val="20"/>
        </w:rPr>
        <w:t xml:space="preserve"> &gt; 1</w:t>
      </w:r>
      <w:r>
        <w:rPr>
          <w:rFonts w:hint="eastAsia" w:eastAsiaTheme="minorEastAsia"/>
          <w:sz w:val="20"/>
          <w:szCs w:val="20"/>
        </w:rPr>
        <w:t>.</w:t>
      </w:r>
    </w:p>
    <w:p w14:paraId="0F75E06B"/>
    <w:p w14:paraId="382F34ED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3EC6939C">
      <w:pPr>
        <w:rPr>
          <w:rFonts w:eastAsia="等线"/>
          <w:sz w:val="20"/>
          <w:szCs w:val="20"/>
        </w:rPr>
      </w:pPr>
      <w:r>
        <w:rPr>
          <w:rFonts w:hint="eastAsia"/>
          <w:sz w:val="20"/>
          <w:szCs w:val="20"/>
          <w:highlight w:val="green"/>
        </w:rPr>
        <w:t>Agreement</w:t>
      </w:r>
      <w:r>
        <w:rPr>
          <w:sz w:val="20"/>
          <w:szCs w:val="20"/>
        </w:rPr>
        <w:t xml:space="preserve"> (first agreement for 6G!!)</w:t>
      </w:r>
    </w:p>
    <w:p w14:paraId="63198AA8">
      <w:pPr>
        <w:rPr>
          <w:rFonts w:eastAsia="等线"/>
          <w:sz w:val="20"/>
          <w:szCs w:val="20"/>
        </w:rPr>
      </w:pPr>
      <w:r>
        <w:rPr>
          <w:sz w:val="20"/>
          <w:szCs w:val="20"/>
        </w:rPr>
        <w:t xml:space="preserve">CP-OFDM </w:t>
      </w:r>
      <w:r>
        <w:rPr>
          <w:rFonts w:hint="eastAsia" w:eastAsia="等线"/>
          <w:sz w:val="20"/>
          <w:szCs w:val="20"/>
        </w:rPr>
        <w:t>and</w:t>
      </w:r>
      <w:r>
        <w:rPr>
          <w:sz w:val="20"/>
          <w:szCs w:val="20"/>
        </w:rPr>
        <w:t xml:space="preserve"> DFT-s-OFDM waveforms as defined in 5G NR </w:t>
      </w:r>
      <w:r>
        <w:rPr>
          <w:rFonts w:hint="eastAsia" w:eastAsia="等线"/>
          <w:sz w:val="20"/>
          <w:szCs w:val="20"/>
        </w:rPr>
        <w:t xml:space="preserve">are supported as the basis </w:t>
      </w:r>
      <w:r>
        <w:rPr>
          <w:sz w:val="20"/>
          <w:szCs w:val="20"/>
        </w:rPr>
        <w:t>for 6GR for uplink</w:t>
      </w:r>
    </w:p>
    <w:p w14:paraId="65E937B4">
      <w:pPr>
        <w:pStyle w:val="150"/>
        <w:numPr>
          <w:ilvl w:val="0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Enhancements/modifications on CP-OFDM/DFT-s-OFDM will be studied as potential additions</w:t>
      </w:r>
    </w:p>
    <w:p w14:paraId="3F0AEB14">
      <w:pPr>
        <w:pStyle w:val="150"/>
        <w:numPr>
          <w:ilvl w:val="0"/>
          <w:numId w:val="25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="等线"/>
          <w:sz w:val="20"/>
          <w:szCs w:val="20"/>
        </w:rPr>
        <w:t>Other OFDM based waveforms are not precluded.</w:t>
      </w:r>
    </w:p>
    <w:p w14:paraId="280C074E">
      <w:pPr>
        <w:rPr>
          <w:rFonts w:eastAsiaTheme="minorEastAsia"/>
        </w:rPr>
      </w:pPr>
    </w:p>
    <w:p w14:paraId="4F725067">
      <w:pPr>
        <w:rPr>
          <w:rFonts w:ascii="Times New Roman" w:hAnsi="Times New Roman" w:eastAsia="Times New Roman"/>
          <w:sz w:val="20"/>
          <w:szCs w:val="20"/>
          <w:highlight w:val="green"/>
        </w:rPr>
      </w:pPr>
      <w:r>
        <w:rPr>
          <w:rFonts w:hint="eastAsia" w:ascii="Times New Roman" w:hAnsi="Times New Roman" w:eastAsia="Times New Roman"/>
          <w:sz w:val="20"/>
          <w:szCs w:val="20"/>
          <w:highlight w:val="green"/>
        </w:rPr>
        <w:t>Agreement</w:t>
      </w:r>
    </w:p>
    <w:p w14:paraId="6F835249">
      <w:pPr>
        <w:rPr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CP-OFDM waveform as defined in 5G NR is supported as the basis for 6GR for downlink</w:t>
      </w:r>
    </w:p>
    <w:p w14:paraId="1BF8B6AE">
      <w:pPr>
        <w:numPr>
          <w:ilvl w:val="0"/>
          <w:numId w:val="26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Enhancements/modifications on CP-OFDM will be studied as potential additions</w:t>
      </w:r>
    </w:p>
    <w:p w14:paraId="2F84E3F0">
      <w:pPr>
        <w:numPr>
          <w:ilvl w:val="0"/>
          <w:numId w:val="26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DFT-s-OFDM or any other OFDM-based waveform will be studied as a </w:t>
      </w:r>
      <w:r>
        <w:rPr>
          <w:rFonts w:hint="eastAsia" w:ascii="Times New Roman" w:hAnsi="Times New Roman" w:eastAsia="等线"/>
          <w:sz w:val="20"/>
          <w:szCs w:val="20"/>
        </w:rPr>
        <w:t xml:space="preserve">potential </w:t>
      </w:r>
      <w:r>
        <w:rPr>
          <w:rFonts w:ascii="Times New Roman" w:hAnsi="Times New Roman" w:eastAsia="Times New Roman"/>
          <w:sz w:val="20"/>
          <w:szCs w:val="20"/>
        </w:rPr>
        <w:t>additional waveform for downlink</w:t>
      </w:r>
    </w:p>
    <w:p w14:paraId="182946E8">
      <w:p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hint="eastAsia" w:ascii="Times New Roman" w:hAnsi="Times New Roman" w:eastAsia="Times New Roman"/>
          <w:sz w:val="20"/>
          <w:szCs w:val="20"/>
        </w:rPr>
        <w:t>Note:</w:t>
      </w:r>
      <w:r>
        <w:rPr>
          <w:rFonts w:ascii="Times New Roman" w:hAnsi="Times New Roman" w:eastAsia="Times New Roman"/>
          <w:sz w:val="20"/>
          <w:szCs w:val="20"/>
        </w:rPr>
        <w:t xml:space="preserve"> proponents to identify at least the target use cases, signals/channels to use the waveform, and how the proposal is intended (if applicable) to support multiplexing with CP-OFDM, including MRSS, and how multi-user multiplexing is supported</w:t>
      </w:r>
      <w:r>
        <w:rPr>
          <w:rFonts w:hint="eastAsia" w:ascii="Times New Roman" w:hAnsi="Times New Roman" w:eastAsia="等线"/>
          <w:sz w:val="20"/>
          <w:szCs w:val="20"/>
        </w:rPr>
        <w:t>, etc</w:t>
      </w:r>
      <w:r>
        <w:rPr>
          <w:rFonts w:ascii="Times New Roman" w:hAnsi="Times New Roman" w:eastAsia="Times New Roman"/>
          <w:sz w:val="20"/>
          <w:szCs w:val="20"/>
        </w:rPr>
        <w:t>.</w:t>
      </w:r>
    </w:p>
    <w:p w14:paraId="0291E829">
      <w:pPr>
        <w:spacing w:after="180"/>
        <w:contextualSpacing/>
        <w:rPr>
          <w:rFonts w:ascii="Times New Roman" w:hAnsi="Times New Roman" w:eastAsia="等线"/>
          <w:sz w:val="20"/>
          <w:szCs w:val="20"/>
        </w:rPr>
      </w:pPr>
    </w:p>
    <w:p w14:paraId="32841103">
      <w:pPr>
        <w:spacing w:after="180"/>
        <w:contextualSpacing/>
        <w:rPr>
          <w:rFonts w:ascii="Times New Roman" w:hAnsi="Times New Roman" w:eastAsia="等线"/>
          <w:sz w:val="20"/>
          <w:szCs w:val="20"/>
        </w:rPr>
      </w:pPr>
      <w:r>
        <w:rPr>
          <w:rFonts w:hint="eastAsia" w:ascii="Times New Roman" w:hAnsi="Times New Roman" w:eastAsia="等线"/>
          <w:sz w:val="20"/>
          <w:szCs w:val="20"/>
        </w:rPr>
        <w:t>Note:</w:t>
      </w:r>
    </w:p>
    <w:p w14:paraId="0F8D68B3">
      <w:pPr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Proponents are encouraged to provide more detailed information on their proposals for the next meeting, e.g.:</w:t>
      </w:r>
    </w:p>
    <w:p w14:paraId="3EF665E2">
      <w:pPr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Proponents to characterize the main motivation for modification/additional waveform proposals:</w:t>
      </w:r>
    </w:p>
    <w:p w14:paraId="0DAF5430">
      <w:pPr>
        <w:numPr>
          <w:ilvl w:val="0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Targeted link direction, i.e. DL, UL or both</w:t>
      </w:r>
    </w:p>
    <w:p w14:paraId="1A3D7B0C">
      <w:pPr>
        <w:numPr>
          <w:ilvl w:val="0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Targeted use case (e.g. NTN, specific frequency range, etc.), if any</w:t>
      </w:r>
    </w:p>
    <w:p w14:paraId="43A64B62">
      <w:pPr>
        <w:numPr>
          <w:ilvl w:val="0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Potential motivations metrics used, and quantified gains for a proposal, e.g. </w:t>
      </w:r>
    </w:p>
    <w:p w14:paraId="5DA6C824">
      <w:pPr>
        <w:numPr>
          <w:ilvl w:val="1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Coverage</w:t>
      </w:r>
    </w:p>
    <w:p w14:paraId="6258E93D">
      <w:pPr>
        <w:numPr>
          <w:ilvl w:val="1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Network energy efficiency</w:t>
      </w:r>
    </w:p>
    <w:p w14:paraId="07F8B30A">
      <w:pPr>
        <w:numPr>
          <w:ilvl w:val="1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UE energy efficiency</w:t>
      </w:r>
    </w:p>
    <w:p w14:paraId="6AF92CFE">
      <w:pPr>
        <w:numPr>
          <w:ilvl w:val="1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Spectral efficiency</w:t>
      </w:r>
    </w:p>
    <w:p w14:paraId="74400C79">
      <w:pPr>
        <w:numPr>
          <w:ilvl w:val="1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High speed tolerance</w:t>
      </w:r>
    </w:p>
    <w:p w14:paraId="582B7611">
      <w:pPr>
        <w:numPr>
          <w:ilvl w:val="1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Scheduling flexibility</w:t>
      </w:r>
    </w:p>
    <w:p w14:paraId="165D4A9D">
      <w:pPr>
        <w:numPr>
          <w:ilvl w:val="1"/>
          <w:numId w:val="27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Integration with ISAC</w:t>
      </w:r>
    </w:p>
    <w:p w14:paraId="140413BF">
      <w:pPr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Proponents provide information on the following aspects, if applicable</w:t>
      </w:r>
    </w:p>
    <w:p w14:paraId="7B764E64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MRSS compatibility</w:t>
      </w:r>
    </w:p>
    <w:p w14:paraId="04AA4187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Target channels/signals, e.g. all channels, PxSCH only, etc.</w:t>
      </w:r>
    </w:p>
    <w:p w14:paraId="12A07A70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MIMO (SU and MU-MIMO) compatibility</w:t>
      </w:r>
    </w:p>
    <w:p w14:paraId="3185DC7A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Target modulations, and impact to other modulations, if applicable</w:t>
      </w:r>
    </w:p>
    <w:p w14:paraId="7767FA3A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Multi-user multiplexing/scheduling flexibility</w:t>
      </w:r>
    </w:p>
    <w:p w14:paraId="6AF76EF7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Multiplexing/coexistence with baseline waveforms</w:t>
      </w:r>
    </w:p>
    <w:p w14:paraId="3168E926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Impact on synchronization and initial access </w:t>
      </w:r>
    </w:p>
    <w:p w14:paraId="20C5348B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Expected specification impact</w:t>
      </w:r>
    </w:p>
    <w:p w14:paraId="487D74E3">
      <w:pPr>
        <w:numPr>
          <w:ilvl w:val="0"/>
          <w:numId w:val="28"/>
        </w:numPr>
        <w:spacing w:after="180"/>
        <w:contextualSpacing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>Transmitter/receiver complexity and impact to power consumption.</w:t>
      </w:r>
    </w:p>
    <w:p w14:paraId="144A4180">
      <w:pPr>
        <w:rPr>
          <w:rFonts w:eastAsiaTheme="minorEastAsia"/>
        </w:rPr>
      </w:pPr>
    </w:p>
    <w:p w14:paraId="1B5412F2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Modulation</w:t>
      </w:r>
    </w:p>
    <w:p w14:paraId="03679540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54375C03">
      <w:pPr>
        <w:rPr>
          <w:rFonts w:eastAsia="等线"/>
          <w:sz w:val="20"/>
          <w:szCs w:val="20"/>
          <w:highlight w:val="green"/>
        </w:rPr>
      </w:pPr>
      <w:r>
        <w:rPr>
          <w:rFonts w:hint="eastAsia" w:eastAsia="等线"/>
          <w:sz w:val="20"/>
          <w:szCs w:val="20"/>
          <w:highlight w:val="green"/>
        </w:rPr>
        <w:t>Agreement</w:t>
      </w:r>
    </w:p>
    <w:p w14:paraId="6AD1D074">
      <w:pPr>
        <w:rPr>
          <w:sz w:val="20"/>
          <w:szCs w:val="20"/>
        </w:rPr>
      </w:pPr>
      <w:r>
        <w:rPr>
          <w:sz w:val="20"/>
          <w:szCs w:val="20"/>
        </w:rPr>
        <w:t xml:space="preserve">For 6GR constellation shaping evaluation for CP-OFDM, </w:t>
      </w:r>
      <w:r>
        <w:rPr>
          <w:rFonts w:hint="eastAsia" w:eastAsiaTheme="minorEastAsia"/>
          <w:sz w:val="20"/>
          <w:szCs w:val="20"/>
        </w:rPr>
        <w:t xml:space="preserve">and improved MCS table, </w:t>
      </w:r>
      <w:r>
        <w:rPr>
          <w:sz w:val="20"/>
          <w:szCs w:val="20"/>
        </w:rPr>
        <w:t>the proposed scheme will be compared with non-shaping with NR MCS table. The evaluation and comparison should consider at least the following:</w:t>
      </w:r>
    </w:p>
    <w:p w14:paraId="0E36EB87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BLER performance under AWGN channel (at least for performance calibration)</w:t>
      </w:r>
    </w:p>
    <w:p w14:paraId="6BF65768">
      <w:pPr>
        <w:pStyle w:val="150"/>
        <w:numPr>
          <w:ilvl w:val="1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1</w:t>
      </w:r>
      <w:r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transmission (baseline) and with HARQ re-transmission</w:t>
      </w:r>
    </w:p>
    <w:p w14:paraId="648427EA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BLER performance under fading channel</w:t>
      </w:r>
      <w:r>
        <w:rPr>
          <w:rFonts w:hint="eastAsia"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>with fixed MCS</w:t>
      </w:r>
    </w:p>
    <w:p w14:paraId="3CFC3504">
      <w:pPr>
        <w:pStyle w:val="150"/>
        <w:numPr>
          <w:ilvl w:val="1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1</w:t>
      </w:r>
      <w:r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transmission (baseline) and with HARQ re-transmission</w:t>
      </w:r>
    </w:p>
    <w:p w14:paraId="328AC1B5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Throughput performance with link adaptation (adaptive MCS and rank) under fading channel</w:t>
      </w:r>
    </w:p>
    <w:p w14:paraId="1035FBC6">
      <w:pPr>
        <w:pStyle w:val="150"/>
        <w:numPr>
          <w:ilvl w:val="1"/>
          <w:numId w:val="29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Needs to provide assumptions on rate adaptation (e.g., target BLER for 1</w:t>
      </w:r>
      <w:r>
        <w:rPr>
          <w:sz w:val="20"/>
          <w:szCs w:val="20"/>
          <w:vertAlign w:val="superscript"/>
        </w:rPr>
        <w:t>st</w:t>
      </w:r>
      <w:r>
        <w:rPr>
          <w:sz w:val="20"/>
          <w:szCs w:val="20"/>
        </w:rPr>
        <w:t xml:space="preserve"> transmission, maximum # of retransmissions)</w:t>
      </w:r>
    </w:p>
    <w:p w14:paraId="02088531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Transmitter and receiver complexity (e.g., shaping/deshaping, demapper), latency, parallelism implementation, and storage requirements, </w:t>
      </w:r>
    </w:p>
    <w:p w14:paraId="1BEA6D5D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Other KPI not excluded, such as PAPR, EVM, MPR/A-MPR</w:t>
      </w:r>
    </w:p>
    <w:p w14:paraId="0B7243FC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Expected spec impact</w:t>
      </w:r>
    </w:p>
    <w:p w14:paraId="39A6D1B2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FFS detailed assumption of </w:t>
      </w:r>
      <w:r>
        <w:rPr>
          <w:sz w:val="20"/>
          <w:szCs w:val="20"/>
        </w:rPr>
        <w:t>constellation shaping</w:t>
      </w:r>
      <w:r>
        <w:rPr>
          <w:rFonts w:hint="eastAsia" w:eastAsiaTheme="minorEastAsia"/>
          <w:sz w:val="20"/>
          <w:szCs w:val="20"/>
        </w:rPr>
        <w:t xml:space="preserve"> and improved MCS table</w:t>
      </w:r>
    </w:p>
    <w:p w14:paraId="4FC76784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System level evaluation can be done after link level evaluation. </w:t>
      </w:r>
    </w:p>
    <w:p w14:paraId="2FDB023B">
      <w:pPr>
        <w:rPr>
          <w:rFonts w:eastAsia="等线"/>
          <w:sz w:val="20"/>
          <w:szCs w:val="20"/>
          <w:highlight w:val="green"/>
        </w:rPr>
      </w:pPr>
      <w:r>
        <w:rPr>
          <w:rFonts w:hint="eastAsia" w:eastAsia="等线"/>
          <w:sz w:val="20"/>
          <w:szCs w:val="20"/>
          <w:highlight w:val="green"/>
        </w:rPr>
        <w:t>Agreement</w:t>
      </w:r>
    </w:p>
    <w:p w14:paraId="7FF14BA6">
      <w:pPr>
        <w:rPr>
          <w:sz w:val="20"/>
          <w:szCs w:val="20"/>
        </w:rPr>
      </w:pPr>
      <w:r>
        <w:rPr>
          <w:sz w:val="20"/>
          <w:szCs w:val="20"/>
        </w:rPr>
        <w:t>For 6GR constellation shaping study, proponent is encouraged to provide details for the PS/GS schemes considered for evaluation and comparison, including at least the following</w:t>
      </w:r>
    </w:p>
    <w:p w14:paraId="66F024AD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Probabilistic shaping for CP-OFDM and DFT-s-OFDM</w:t>
      </w:r>
    </w:p>
    <w:p w14:paraId="25BBE6FA">
      <w:pPr>
        <w:pStyle w:val="150"/>
        <w:numPr>
          <w:ilvl w:val="1"/>
          <w:numId w:val="29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Use the list of spectrum efficiencies in NR MCS table as starting point, and provide constellation (including normalization), coding rate and target probabilistic distribution for each SE</w:t>
      </w:r>
    </w:p>
    <w:p w14:paraId="3498CE67">
      <w:pPr>
        <w:pStyle w:val="150"/>
        <w:numPr>
          <w:ilvl w:val="2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If multiple coding rate and target probabilistic distribution pairs are provided for each SE, how to switch between them</w:t>
      </w:r>
    </w:p>
    <w:p w14:paraId="65330721">
      <w:pPr>
        <w:pStyle w:val="150"/>
        <w:numPr>
          <w:ilvl w:val="1"/>
          <w:numId w:val="29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Relationship between shaping and FEC, coded bits to modulation symbol mapping, and other modules (such as scrambling</w:t>
      </w:r>
      <w:r>
        <w:rPr>
          <w:rFonts w:hint="eastAsia" w:eastAsiaTheme="minorEastAsia"/>
          <w:sz w:val="20"/>
          <w:szCs w:val="20"/>
        </w:rPr>
        <w:t>, interleaving</w:t>
      </w:r>
      <w:r>
        <w:rPr>
          <w:sz w:val="20"/>
          <w:szCs w:val="20"/>
        </w:rPr>
        <w:t>), in transmit and receive chains</w:t>
      </w:r>
      <w:r>
        <w:rPr>
          <w:rFonts w:hint="eastAsia" w:eastAsiaTheme="minorEastAsia"/>
          <w:sz w:val="20"/>
          <w:szCs w:val="20"/>
        </w:rPr>
        <w:t>. How to handle HARQ retransmission</w:t>
      </w:r>
    </w:p>
    <w:p w14:paraId="71A5624A">
      <w:pPr>
        <w:pStyle w:val="150"/>
        <w:numPr>
          <w:ilvl w:val="1"/>
          <w:numId w:val="29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PS algorithm details (for example, source coding based, channel coding based, etc) and parameters (such as block length, rate loss)</w:t>
      </w:r>
    </w:p>
    <w:p w14:paraId="70B8A0E6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Geometric shaping for CP-OFDM and DFT-s-OFDM</w:t>
      </w:r>
    </w:p>
    <w:p w14:paraId="760186AC">
      <w:pPr>
        <w:pStyle w:val="150"/>
        <w:numPr>
          <w:ilvl w:val="1"/>
          <w:numId w:val="29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Use the list of spectrum efficiencies in NR MCS table as starting point, and provide target constellation shape (including normalization) (1D-NUC, 2D-NUC, QAM-CS, etc) for each SE</w:t>
      </w:r>
    </w:p>
    <w:p w14:paraId="33985CB6">
      <w:pPr>
        <w:pStyle w:val="150"/>
        <w:numPr>
          <w:ilvl w:val="2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If multiple constellation shapes are provided for each SE, how to switch between them</w:t>
      </w:r>
    </w:p>
    <w:p w14:paraId="77297F11">
      <w:pPr>
        <w:pStyle w:val="150"/>
        <w:numPr>
          <w:ilvl w:val="1"/>
          <w:numId w:val="29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GS mapping details, such as bit to constellation point mapping</w:t>
      </w:r>
      <w:r>
        <w:rPr>
          <w:rFonts w:hint="eastAsia" w:eastAsiaTheme="minorEastAsia"/>
          <w:sz w:val="20"/>
          <w:szCs w:val="20"/>
        </w:rPr>
        <w:t xml:space="preserve"> and shape</w:t>
      </w:r>
    </w:p>
    <w:p w14:paraId="0DFC9DEC">
      <w:pPr>
        <w:pStyle w:val="150"/>
        <w:numPr>
          <w:ilvl w:val="1"/>
          <w:numId w:val="29"/>
        </w:numPr>
        <w:spacing w:after="180"/>
        <w:ind w:left="1440"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Relationship with other blocks (such as scrambling, interleaving). How to handle HARQ retransmission</w:t>
      </w:r>
    </w:p>
    <w:p w14:paraId="2F432C32">
      <w:pPr>
        <w:rPr>
          <w:rFonts w:eastAsia="等线"/>
          <w:sz w:val="20"/>
          <w:szCs w:val="20"/>
          <w:highlight w:val="green"/>
        </w:rPr>
      </w:pPr>
      <w:r>
        <w:rPr>
          <w:rFonts w:hint="eastAsia" w:eastAsia="等线"/>
          <w:sz w:val="20"/>
          <w:szCs w:val="20"/>
          <w:highlight w:val="green"/>
        </w:rPr>
        <w:t>Agreement</w:t>
      </w:r>
    </w:p>
    <w:p w14:paraId="3F033C40">
      <w:pPr>
        <w:rPr>
          <w:sz w:val="20"/>
          <w:szCs w:val="20"/>
        </w:rPr>
      </w:pPr>
      <w:r>
        <w:rPr>
          <w:sz w:val="20"/>
          <w:szCs w:val="20"/>
        </w:rPr>
        <w:t xml:space="preserve">For link level simulation </w:t>
      </w:r>
      <w:r>
        <w:rPr>
          <w:rFonts w:hint="eastAsia" w:eastAsiaTheme="minorEastAsia"/>
          <w:sz w:val="20"/>
          <w:szCs w:val="20"/>
        </w:rPr>
        <w:t xml:space="preserve">for modulation </w:t>
      </w:r>
      <w:r>
        <w:rPr>
          <w:sz w:val="20"/>
          <w:szCs w:val="20"/>
        </w:rPr>
        <w:t>evaluation, companies are encouraged to evaluate with the following assumptions and should report the exact scheme evaluated.</w:t>
      </w:r>
    </w:p>
    <w:p w14:paraId="7A2B4507">
      <w:pPr>
        <w:pStyle w:val="150"/>
        <w:numPr>
          <w:ilvl w:val="0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channel configuration, including Channel profiles</w:t>
      </w:r>
      <w:r>
        <w:rPr>
          <w:rFonts w:hint="eastAsia" w:eastAsiaTheme="minorEastAsia"/>
          <w:sz w:val="20"/>
          <w:szCs w:val="20"/>
        </w:rPr>
        <w:t>,</w:t>
      </w:r>
      <w:r>
        <w:rPr>
          <w:sz w:val="20"/>
          <w:szCs w:val="20"/>
        </w:rPr>
        <w:t>Tx/RX antenna settings</w:t>
      </w:r>
    </w:p>
    <w:p w14:paraId="69041F51">
      <w:pPr>
        <w:pStyle w:val="150"/>
        <w:numPr>
          <w:ilvl w:val="0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For </w:t>
      </w:r>
      <w:r>
        <w:rPr>
          <w:sz w:val="20"/>
          <w:szCs w:val="20"/>
        </w:rPr>
        <w:t xml:space="preserve">MIMO scenario: SU-MIMO </w:t>
      </w:r>
      <w:r>
        <w:rPr>
          <w:rFonts w:hint="eastAsia" w:eastAsiaTheme="minorEastAsia"/>
          <w:sz w:val="20"/>
          <w:szCs w:val="20"/>
        </w:rPr>
        <w:t>or</w:t>
      </w:r>
      <w:r>
        <w:rPr>
          <w:rFonts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>MU-MIMO</w:t>
      </w:r>
      <w:r>
        <w:rPr>
          <w:rFonts w:hint="eastAsia" w:eastAsiaTheme="minorEastAsia"/>
          <w:sz w:val="20"/>
          <w:szCs w:val="20"/>
        </w:rPr>
        <w:t xml:space="preserve">, follow agenda </w:t>
      </w:r>
      <w:r>
        <w:rPr>
          <w:sz w:val="20"/>
          <w:szCs w:val="20"/>
        </w:rPr>
        <w:t xml:space="preserve">item 11.2 for </w:t>
      </w:r>
      <w:r>
        <w:rPr>
          <w:rFonts w:hint="eastAsia" w:eastAsiaTheme="minorEastAsia"/>
          <w:sz w:val="20"/>
          <w:szCs w:val="20"/>
        </w:rPr>
        <w:t>MIMO when available.</w:t>
      </w:r>
    </w:p>
    <w:p w14:paraId="5E325757">
      <w:pPr>
        <w:pStyle w:val="150"/>
        <w:numPr>
          <w:ilvl w:val="0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Precoder assumption</w:t>
      </w:r>
    </w:p>
    <w:p w14:paraId="4C4D9A8B">
      <w:pPr>
        <w:pStyle w:val="150"/>
        <w:numPr>
          <w:ilvl w:val="1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Close loop MIMO (reciprocal beamforming (e.g., SVD, SLR/RZF, etc.), codebook based)</w:t>
      </w:r>
    </w:p>
    <w:p w14:paraId="582E9C96">
      <w:pPr>
        <w:pStyle w:val="150"/>
        <w:numPr>
          <w:ilvl w:val="2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Realistic CSI/SRS</w:t>
      </w:r>
      <w:r>
        <w:rPr>
          <w:rFonts w:hint="eastAsia" w:eastAsiaTheme="minorEastAsia"/>
          <w:sz w:val="20"/>
          <w:szCs w:val="20"/>
        </w:rPr>
        <w:t>/AP-SRS</w:t>
      </w:r>
      <w:r>
        <w:rPr>
          <w:rFonts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periodicity </w:t>
      </w:r>
      <w:r>
        <w:rPr>
          <w:rFonts w:eastAsiaTheme="minorEastAsia"/>
          <w:sz w:val="20"/>
          <w:szCs w:val="20"/>
        </w:rPr>
        <w:t xml:space="preserve">and </w:t>
      </w:r>
      <w:r>
        <w:rPr>
          <w:rFonts w:hint="eastAsia" w:eastAsiaTheme="minorEastAsia"/>
          <w:sz w:val="20"/>
          <w:szCs w:val="20"/>
        </w:rPr>
        <w:t xml:space="preserve">delay, </w:t>
      </w:r>
      <w:r>
        <w:rPr>
          <w:sz w:val="20"/>
          <w:szCs w:val="20"/>
        </w:rPr>
        <w:t>and SRS chanEst assumptions</w:t>
      </w:r>
      <w:r>
        <w:rPr>
          <w:rFonts w:hint="eastAsia" w:eastAsiaTheme="minorEastAsia"/>
          <w:sz w:val="20"/>
          <w:szCs w:val="20"/>
        </w:rPr>
        <w:t xml:space="preserve">, </w:t>
      </w:r>
    </w:p>
    <w:p w14:paraId="0F3A1B62">
      <w:pPr>
        <w:pStyle w:val="150"/>
        <w:numPr>
          <w:ilvl w:val="2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or genie beamforming</w:t>
      </w:r>
    </w:p>
    <w:p w14:paraId="43393FDD">
      <w:pPr>
        <w:pStyle w:val="150"/>
        <w:numPr>
          <w:ilvl w:val="1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Open loop MIMO</w:t>
      </w:r>
    </w:p>
    <w:p w14:paraId="0653E325">
      <w:pPr>
        <w:pStyle w:val="150"/>
        <w:numPr>
          <w:ilvl w:val="0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Receiver assumption (for MIMO): LMMSE (baseline) for UL, rML or LMMSE for DL</w:t>
      </w:r>
    </w:p>
    <w:p w14:paraId="5B3DBE75">
      <w:pPr>
        <w:pStyle w:val="150"/>
        <w:numPr>
          <w:ilvl w:val="0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LLR demapper: Max-log (baseline) or Log-MAP</w:t>
      </w:r>
    </w:p>
    <w:p w14:paraId="6AC07B4C">
      <w:pPr>
        <w:pStyle w:val="150"/>
        <w:numPr>
          <w:ilvl w:val="0"/>
          <w:numId w:val="29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Channel estimation: Realistic (baseline) or </w:t>
      </w:r>
      <w:r>
        <w:rPr>
          <w:rFonts w:hint="eastAsia" w:eastAsiaTheme="minorEastAsia"/>
          <w:sz w:val="20"/>
          <w:szCs w:val="20"/>
        </w:rPr>
        <w:t>ideal</w:t>
      </w:r>
    </w:p>
    <w:p w14:paraId="754708EB">
      <w:pPr>
        <w:pStyle w:val="150"/>
        <w:numPr>
          <w:ilvl w:val="0"/>
          <w:numId w:val="29"/>
        </w:numPr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Other assumptions: Channel coding NR-LDPC (baseline), PxSCH bandwidth</w:t>
      </w:r>
      <w:r>
        <w:rPr>
          <w:rFonts w:eastAsiaTheme="minorEastAsia"/>
          <w:sz w:val="20"/>
          <w:szCs w:val="20"/>
        </w:rPr>
        <w:t>,</w:t>
      </w:r>
      <w:r>
        <w:rPr>
          <w:sz w:val="20"/>
          <w:szCs w:val="20"/>
        </w:rPr>
        <w:t xml:space="preserve"> SCS, FD interleaver used or not</w:t>
      </w:r>
      <w:r>
        <w:rPr>
          <w:rFonts w:hint="eastAsia" w:eastAsiaTheme="minorEastAsia"/>
          <w:sz w:val="20"/>
          <w:szCs w:val="20"/>
        </w:rPr>
        <w:t>, 5GNR BICM interleaver usage</w:t>
      </w:r>
    </w:p>
    <w:p w14:paraId="412E184E">
      <w:pPr>
        <w:pStyle w:val="150"/>
        <w:numPr>
          <w:ilvl w:val="0"/>
          <w:numId w:val="29"/>
        </w:numPr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Note: For MIMO, SIMO, MISO and SISO are included when possible</w:t>
      </w:r>
    </w:p>
    <w:p w14:paraId="206748C5">
      <w:pPr>
        <w:contextualSpacing/>
        <w:rPr>
          <w:rFonts w:eastAsiaTheme="minorEastAsia"/>
          <w:sz w:val="20"/>
          <w:szCs w:val="20"/>
        </w:rPr>
      </w:pPr>
    </w:p>
    <w:p w14:paraId="355F7EA4">
      <w:pPr>
        <w:rPr>
          <w:rFonts w:eastAsia="等线"/>
          <w:sz w:val="20"/>
          <w:szCs w:val="20"/>
          <w:highlight w:val="green"/>
        </w:rPr>
      </w:pPr>
      <w:r>
        <w:rPr>
          <w:rFonts w:hint="eastAsia" w:eastAsia="等线"/>
          <w:sz w:val="20"/>
          <w:szCs w:val="20"/>
          <w:highlight w:val="green"/>
        </w:rPr>
        <w:t>Agreement</w:t>
      </w:r>
    </w:p>
    <w:p w14:paraId="2B8A2196">
      <w:pP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For 6GR constellation shaping evaluation for DFT-s-OFDM,</w:t>
      </w:r>
      <w:r>
        <w:rPr>
          <w:rFonts w:hint="eastAsia" w:eastAsiaTheme="minorEastAsia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and improved MCS table,</w:t>
      </w: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the proposed scheme will be compared with non-shaping with NR MCS table. In addition to what has been agreed for CP-OFDM in earlier agreement, the evaluation and comparison should further consider at least the following:</w:t>
      </w:r>
    </w:p>
    <w:p w14:paraId="6D374052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/>
          <w:i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PAPR/CM</w:t>
      </w:r>
      <w:r>
        <w:rPr>
          <w:i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of the resulting waveform</w:t>
      </w:r>
    </w:p>
    <w:p w14:paraId="7BAB78E8">
      <w:pPr>
        <w:pStyle w:val="150"/>
        <w:numPr>
          <w:ilvl w:val="0"/>
          <w:numId w:val="29"/>
        </w:numPr>
        <w:spacing w:after="180"/>
        <w:ind w:left="720" w:firstLineChars="0"/>
        <w:contextualSpacing/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sz w:val="20"/>
          <w:szCs w:val="20"/>
        </w:rPr>
        <w:t>EVM, MPR/A-MPR</w:t>
      </w:r>
    </w:p>
    <w:p w14:paraId="7C4A4481">
      <w:pPr>
        <w:rPr>
          <w:rFonts w:eastAsia="等线"/>
          <w:sz w:val="20"/>
          <w:szCs w:val="20"/>
          <w:highlight w:val="green"/>
        </w:rPr>
      </w:pPr>
      <w:r>
        <w:rPr>
          <w:rFonts w:hint="eastAsia" w:eastAsia="等线"/>
          <w:sz w:val="20"/>
          <w:szCs w:val="20"/>
          <w:highlight w:val="green"/>
        </w:rPr>
        <w:t>Agreement</w:t>
      </w:r>
    </w:p>
    <w:p w14:paraId="4832FC2E">
      <w:pPr>
        <w:rPr>
          <w:sz w:val="20"/>
          <w:szCs w:val="20"/>
        </w:rPr>
      </w:pPr>
      <w:r>
        <w:rPr>
          <w:sz w:val="20"/>
          <w:szCs w:val="20"/>
        </w:rPr>
        <w:t xml:space="preserve">For the study of uniform 4096QAM for DL and uniform 1024QAM for UL, need to study performance </w:t>
      </w:r>
      <w:r>
        <w:rPr>
          <w:rFonts w:hint="eastAsia" w:eastAsiaTheme="minorEastAsia"/>
          <w:sz w:val="20"/>
          <w:szCs w:val="20"/>
        </w:rPr>
        <w:t>(assuming</w:t>
      </w:r>
      <w:r>
        <w:rPr>
          <w:sz w:val="20"/>
          <w:szCs w:val="20"/>
        </w:rPr>
        <w:t xml:space="preserve"> realistic channel estimation, time/freq synchronization assumption, phase noise assumption</w:t>
      </w:r>
      <w:r>
        <w:rPr>
          <w:rFonts w:hint="eastAsia" w:eastAsiaTheme="minorEastAsia"/>
          <w:sz w:val="20"/>
          <w:szCs w:val="20"/>
        </w:rPr>
        <w:t>, etc</w:t>
      </w:r>
      <w:r>
        <w:rPr>
          <w:sz w:val="20"/>
          <w:szCs w:val="20"/>
        </w:rPr>
        <w:t>), complexity/power consumption, requirements, benefit/necessity under applicable scenarios, associated restrictions, and challenges (such as EVM requirement, PAPR increase, MPR or A-MPR increase</w:t>
      </w:r>
      <w:r>
        <w:rPr>
          <w:rFonts w:hint="eastAsia" w:eastAsiaTheme="minorEastAsia"/>
          <w:sz w:val="20"/>
          <w:szCs w:val="20"/>
        </w:rPr>
        <w:t xml:space="preserve"> under realistic PA model</w:t>
      </w:r>
      <w:r>
        <w:rPr>
          <w:sz w:val="20"/>
          <w:szCs w:val="20"/>
        </w:rPr>
        <w:t>).</w:t>
      </w:r>
    </w:p>
    <w:p w14:paraId="6701392A">
      <w:pPr>
        <w:pStyle w:val="150"/>
        <w:numPr>
          <w:ilvl w:val="0"/>
          <w:numId w:val="30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FFS: How to involve RAN4 early</w:t>
      </w:r>
    </w:p>
    <w:p w14:paraId="34FAF2E6">
      <w:pPr>
        <w:pStyle w:val="150"/>
        <w:numPr>
          <w:ilvl w:val="0"/>
          <w:numId w:val="30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FFS: Shaping of higher order modulation</w:t>
      </w:r>
    </w:p>
    <w:p w14:paraId="1A4537F3">
      <w:pPr>
        <w:pStyle w:val="150"/>
        <w:numPr>
          <w:ilvl w:val="0"/>
          <w:numId w:val="30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System level evaluation can be done after link level evaluation. </w:t>
      </w:r>
    </w:p>
    <w:p w14:paraId="3D951504">
      <w:pPr>
        <w:rPr>
          <w:rFonts w:eastAsiaTheme="minorEastAsia"/>
        </w:rPr>
      </w:pPr>
    </w:p>
    <w:p w14:paraId="17B059B9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2CE136A2">
      <w:pPr>
        <w:rPr>
          <w:rFonts w:ascii="Times New Roman" w:hAnsi="Times New Roman" w:eastAsia="等线"/>
          <w:sz w:val="20"/>
          <w:szCs w:val="15"/>
          <w:highlight w:val="green"/>
        </w:rPr>
      </w:pPr>
      <w:r>
        <w:rPr>
          <w:rFonts w:ascii="Times New Roman" w:hAnsi="Times New Roman" w:eastAsia="等线"/>
          <w:sz w:val="20"/>
          <w:szCs w:val="15"/>
          <w:highlight w:val="green"/>
        </w:rPr>
        <w:t>Agreement</w:t>
      </w:r>
    </w:p>
    <w:p w14:paraId="56F9A06B">
      <w:pPr>
        <w:numPr>
          <w:ilvl w:val="0"/>
          <w:numId w:val="29"/>
        </w:numPr>
        <w:ind w:left="720"/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>For 6GR DL, 5G NR uniform QPSK, 16QAM, 64QAM, 256QAM and 1024QAM are supported as basis for study for data channel</w:t>
      </w:r>
    </w:p>
    <w:p w14:paraId="418C1238">
      <w:pPr>
        <w:numPr>
          <w:ilvl w:val="1"/>
          <w:numId w:val="29"/>
        </w:numPr>
        <w:overflowPunct w:val="0"/>
        <w:autoSpaceDE w:val="0"/>
        <w:autoSpaceDN w:val="0"/>
        <w:adjustRightInd w:val="0"/>
        <w:ind w:left="1440"/>
        <w:contextualSpacing/>
        <w:textAlignment w:val="baseline"/>
        <w:rPr>
          <w:rFonts w:ascii="Times New Roman" w:hAnsi="Times New Roman"/>
          <w:sz w:val="20"/>
          <w:szCs w:val="15"/>
          <w:lang w:eastAsia="zh-CN"/>
        </w:rPr>
      </w:pPr>
      <w:r>
        <w:rPr>
          <w:rFonts w:ascii="Times New Roman" w:hAnsi="Times New Roman"/>
          <w:sz w:val="20"/>
          <w:szCs w:val="15"/>
          <w:lang w:eastAsia="zh-CN"/>
        </w:rPr>
        <w:t>FFS: Enhancements and other modulation schemes</w:t>
      </w:r>
    </w:p>
    <w:p w14:paraId="35A3D705">
      <w:pPr>
        <w:numPr>
          <w:ilvl w:val="0"/>
          <w:numId w:val="29"/>
        </w:numPr>
        <w:ind w:left="720"/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>For 6GR UL, 5G NR uniform QPSK, 16QAM, 64QAM, and 256QAM are supported as basis for study for CP-OFDM for data channel</w:t>
      </w:r>
    </w:p>
    <w:p w14:paraId="697CAB23">
      <w:pPr>
        <w:numPr>
          <w:ilvl w:val="1"/>
          <w:numId w:val="29"/>
        </w:numPr>
        <w:overflowPunct w:val="0"/>
        <w:autoSpaceDE w:val="0"/>
        <w:autoSpaceDN w:val="0"/>
        <w:adjustRightInd w:val="0"/>
        <w:ind w:left="1440"/>
        <w:contextualSpacing/>
        <w:textAlignment w:val="baseline"/>
        <w:rPr>
          <w:rFonts w:ascii="Times New Roman" w:hAnsi="Times New Roman"/>
          <w:sz w:val="20"/>
          <w:szCs w:val="15"/>
          <w:lang w:eastAsia="zh-CN"/>
        </w:rPr>
      </w:pPr>
      <w:r>
        <w:rPr>
          <w:rFonts w:ascii="Times New Roman" w:hAnsi="Times New Roman"/>
          <w:sz w:val="20"/>
          <w:szCs w:val="15"/>
          <w:lang w:eastAsia="zh-CN"/>
        </w:rPr>
        <w:t>FFS: Enhancements and other modulation schemes</w:t>
      </w:r>
    </w:p>
    <w:p w14:paraId="6EBE5320">
      <w:pPr>
        <w:numPr>
          <w:ilvl w:val="0"/>
          <w:numId w:val="29"/>
        </w:numPr>
        <w:ind w:left="720"/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>For 6GR UL, 5G NR pi/2 BPSK, uniform QPSK, 16QAM, 64QAM, and 256QAM are supported as basis for study for DFT-s-OFDM for data channel</w:t>
      </w:r>
    </w:p>
    <w:p w14:paraId="1687E4AB">
      <w:pPr>
        <w:numPr>
          <w:ilvl w:val="1"/>
          <w:numId w:val="29"/>
        </w:numPr>
        <w:overflowPunct w:val="0"/>
        <w:autoSpaceDE w:val="0"/>
        <w:autoSpaceDN w:val="0"/>
        <w:adjustRightInd w:val="0"/>
        <w:ind w:left="1440"/>
        <w:contextualSpacing/>
        <w:textAlignment w:val="baseline"/>
        <w:rPr>
          <w:rFonts w:ascii="Times New Roman" w:hAnsi="Times New Roman"/>
          <w:sz w:val="20"/>
          <w:szCs w:val="15"/>
          <w:lang w:eastAsia="zh-CN"/>
        </w:rPr>
      </w:pPr>
      <w:r>
        <w:rPr>
          <w:rFonts w:ascii="Times New Roman" w:hAnsi="Times New Roman"/>
          <w:sz w:val="20"/>
          <w:szCs w:val="15"/>
          <w:lang w:eastAsia="zh-CN"/>
        </w:rPr>
        <w:t>FFS: Enhancements and other modulation schemes</w:t>
      </w:r>
    </w:p>
    <w:p w14:paraId="5344F679">
      <w:pPr>
        <w:rPr>
          <w:rFonts w:eastAsiaTheme="minorEastAsia"/>
        </w:rPr>
      </w:pPr>
    </w:p>
    <w:p w14:paraId="013B325D">
      <w:pPr>
        <w:pStyle w:val="4"/>
        <w:rPr>
          <w:rFonts w:ascii="Arial" w:hAnsi="Arial"/>
          <w:lang w:val="en-US"/>
        </w:rPr>
      </w:pPr>
      <w:r>
        <w:rPr>
          <w:rFonts w:hint="eastAsia" w:ascii="Arial" w:hAnsi="Arial"/>
          <w:lang w:val="en-US"/>
        </w:rPr>
        <w:t>M</w:t>
      </w:r>
      <w:r>
        <w:rPr>
          <w:rFonts w:ascii="Arial" w:hAnsi="Arial"/>
          <w:lang w:val="en-US"/>
        </w:rPr>
        <w:t>ax Channel bandwidth</w:t>
      </w:r>
    </w:p>
    <w:p w14:paraId="3333F4AB">
      <w:pPr>
        <w:pStyle w:val="5"/>
        <w:bidi w:val="0"/>
        <w:rPr>
          <w:lang w:val="en-US"/>
        </w:rPr>
      </w:pPr>
      <w:r>
        <w:rPr>
          <w:lang w:val="en-US"/>
        </w:rPr>
        <w:t>RAN1 #12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 (</w:t>
      </w:r>
      <w:r>
        <w:rPr>
          <w:rFonts w:hint="eastAsia"/>
          <w:lang w:val="en-US" w:eastAsia="zh-CN"/>
        </w:rPr>
        <w:t>Nov</w:t>
      </w:r>
      <w:r>
        <w:rPr>
          <w:lang w:val="en-US"/>
        </w:rPr>
        <w:t>, 2025)</w:t>
      </w:r>
    </w:p>
    <w:p w14:paraId="73FF9710">
      <w:pPr>
        <w:spacing w:after="160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15726EF9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RAN1 assumes maximum channel bandwidth 800MHz or 400MHz at network side for FR2-1</w:t>
      </w:r>
    </w:p>
    <w:p w14:paraId="6217FDC1">
      <w:pPr>
        <w:pStyle w:val="150"/>
        <w:numPr>
          <w:ilvl w:val="1"/>
          <w:numId w:val="31"/>
        </w:numPr>
        <w:spacing w:after="180"/>
        <w:ind w:left="1440" w:leftChars="0" w:hanging="360" w:firstLineChars="0"/>
        <w:contextualSpacing/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800MHz or 400MHz, to be down-selected in the future</w:t>
      </w:r>
    </w:p>
    <w:p w14:paraId="23DA089B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rFonts w:hint="eastAsia"/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FFS: 800MHz or 400MHz at UE side.</w:t>
      </w:r>
    </w:p>
    <w:p w14:paraId="2CFB5B65">
      <w:pPr>
        <w:pStyle w:val="150"/>
        <w:numPr>
          <w:ilvl w:val="0"/>
          <w:numId w:val="0"/>
        </w:numPr>
        <w:spacing w:after="180"/>
        <w:contextualSpacing/>
        <w:rPr>
          <w:rFonts w:hint="eastAsia"/>
          <w:sz w:val="20"/>
          <w:szCs w:val="20"/>
          <w:lang w:val="en-US" w:eastAsia="zh-CN"/>
        </w:rPr>
      </w:pPr>
    </w:p>
    <w:p w14:paraId="4AB7BFDF">
      <w:pPr>
        <w:spacing w:after="160"/>
        <w:rPr>
          <w:rFonts w:hint="eastAsia" w:eastAsiaTheme="minorEastAsia"/>
          <w:sz w:val="20"/>
          <w:szCs w:val="20"/>
          <w:highlight w:val="green"/>
          <w:lang w:val="en-US" w:eastAsia="zh-CN"/>
        </w:rPr>
      </w:pPr>
      <w:r>
        <w:rPr>
          <w:rFonts w:hint="eastAsia" w:eastAsiaTheme="minorEastAsia"/>
          <w:sz w:val="20"/>
          <w:szCs w:val="20"/>
          <w:highlight w:val="green"/>
          <w:lang w:val="en-US" w:eastAsia="zh-CN"/>
        </w:rPr>
        <w:t>Agreement</w:t>
      </w:r>
    </w:p>
    <w:p w14:paraId="2D871A6B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For </w:t>
      </w:r>
      <w:r>
        <w:rPr>
          <w:sz w:val="20"/>
          <w:szCs w:val="20"/>
          <w:lang w:val="en-US" w:eastAsia="zh-CN"/>
        </w:rPr>
        <w:t>how to enable UE to support 400MHz bandwidth</w:t>
      </w:r>
      <w:r>
        <w:rPr>
          <w:rFonts w:hint="eastAsia"/>
          <w:sz w:val="20"/>
          <w:szCs w:val="20"/>
          <w:lang w:eastAsia="zh-CN"/>
        </w:rPr>
        <w:t xml:space="preserve"> when </w:t>
      </w:r>
      <w:r>
        <w:rPr>
          <w:sz w:val="20"/>
          <w:szCs w:val="20"/>
          <w:lang w:eastAsia="zh-CN"/>
        </w:rPr>
        <w:t xml:space="preserve">a network </w:t>
      </w:r>
      <w:r>
        <w:rPr>
          <w:rFonts w:hint="eastAsia"/>
          <w:sz w:val="20"/>
          <w:szCs w:val="20"/>
          <w:lang w:eastAsia="zh-CN"/>
        </w:rPr>
        <w:t xml:space="preserve">supports </w:t>
      </w:r>
      <w:r>
        <w:rPr>
          <w:sz w:val="20"/>
          <w:szCs w:val="20"/>
          <w:lang w:eastAsia="zh-CN"/>
        </w:rPr>
        <w:t xml:space="preserve">400 MHz Channel Bandwidth (CBW), the </w:t>
      </w:r>
      <w:r>
        <w:rPr>
          <w:rFonts w:hint="eastAsia"/>
          <w:sz w:val="20"/>
          <w:szCs w:val="20"/>
          <w:lang w:eastAsia="zh-CN"/>
        </w:rPr>
        <w:t xml:space="preserve">following </w:t>
      </w:r>
      <w:r>
        <w:rPr>
          <w:sz w:val="20"/>
          <w:szCs w:val="20"/>
          <w:lang w:val="en-US" w:eastAsia="zh-CN"/>
        </w:rPr>
        <w:t>options 1/2/3/4</w:t>
      </w:r>
      <w:r>
        <w:rPr>
          <w:rFonts w:hint="eastAsia"/>
          <w:sz w:val="20"/>
          <w:szCs w:val="20"/>
          <w:lang w:val="en-US" w:eastAsia="zh-CN"/>
        </w:rPr>
        <w:t>/5</w:t>
      </w:r>
      <w:r>
        <w:rPr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  <w:lang w:eastAsia="zh-CN"/>
        </w:rPr>
        <w:t>are considered from RAN1 understanding</w:t>
      </w:r>
      <w:r>
        <w:rPr>
          <w:sz w:val="20"/>
          <w:szCs w:val="20"/>
          <w:lang w:val="en-US" w:eastAsia="zh-CN"/>
        </w:rPr>
        <w:t xml:space="preserve"> for studying</w:t>
      </w:r>
    </w:p>
    <w:p w14:paraId="3BC78FC7">
      <w:pPr>
        <w:rPr>
          <w:rFonts w:eastAsia="等线"/>
          <w:lang w:val="en-US" w:eastAsia="zh-CN"/>
        </w:rPr>
      </w:pPr>
      <w:r>
        <w:rPr>
          <w:rFonts w:ascii="Arial" w:hAnsi="Arial" w:cs="Arial" w:eastAsiaTheme="minorEastAsia"/>
          <w:szCs w:val="20"/>
          <w:lang w:eastAsia="zh-CN"/>
        </w:rPr>
        <w:drawing>
          <wp:inline distT="0" distB="0" distL="0" distR="0">
            <wp:extent cx="6019800" cy="2811780"/>
            <wp:effectExtent l="0" t="0" r="0" b="0"/>
            <wp:docPr id="1185296213" name="Picture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296213" name="Picture 1" descr="图示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22004" cy="2813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75EFF7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Option 5: Variance of Option 3 by assuming single FFT and 2 RF chain.</w:t>
      </w:r>
    </w:p>
    <w:p w14:paraId="152F7D71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FFS which aspects of the BB processor in option 3 and 4 should be separated/parallelled.</w:t>
      </w:r>
    </w:p>
    <w:p w14:paraId="4F1B905F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Note: DL and UL design options may be considered independently.</w:t>
      </w:r>
    </w:p>
    <w:p w14:paraId="6F7E60CE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To provide potential specification impact of each option.</w:t>
      </w:r>
    </w:p>
    <w:p w14:paraId="5E54A5F0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To provide investigations on performance/energy efficiency/cost/complexity for the above options.</w:t>
      </w:r>
    </w:p>
    <w:p w14:paraId="706EBFA0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Inform RAN4 about the above information. </w:t>
      </w:r>
    </w:p>
    <w:p w14:paraId="053780B8">
      <w:pPr>
        <w:rPr>
          <w:rFonts w:eastAsia="等线"/>
          <w:lang w:val="en-US" w:eastAsia="zh-CN"/>
        </w:rPr>
      </w:pPr>
    </w:p>
    <w:p w14:paraId="4485BA09">
      <w:pPr>
        <w:spacing w:after="160"/>
        <w:rPr>
          <w:rFonts w:hint="eastAsia" w:eastAsiaTheme="minorEastAsia"/>
          <w:sz w:val="18"/>
          <w:szCs w:val="18"/>
          <w:highlight w:val="green"/>
          <w:lang w:val="en-US" w:eastAsia="zh-CN"/>
        </w:rPr>
      </w:pPr>
      <w:r>
        <w:rPr>
          <w:rFonts w:hint="eastAsia" w:eastAsiaTheme="minorEastAsia"/>
          <w:sz w:val="18"/>
          <w:szCs w:val="18"/>
          <w:highlight w:val="green"/>
          <w:lang w:val="en-US" w:eastAsia="zh-CN"/>
        </w:rPr>
        <w:t>Agreement</w:t>
      </w:r>
    </w:p>
    <w:p w14:paraId="40FE4915">
      <w:pPr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Draft LS R1-2509577 is endorsed.</w:t>
      </w:r>
    </w:p>
    <w:p w14:paraId="24AFEEE8">
      <w:pPr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Agreement</w:t>
      </w:r>
    </w:p>
    <w:p w14:paraId="7C988371">
      <w:pPr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Final LS R1-2509578 is endorsed.</w:t>
      </w:r>
    </w:p>
    <w:p w14:paraId="6CEF2B1D">
      <w:pPr>
        <w:rPr>
          <w:rFonts w:eastAsiaTheme="minorEastAsia"/>
          <w:lang w:eastAsia="zh-CN"/>
        </w:rPr>
      </w:pPr>
    </w:p>
    <w:p w14:paraId="29FA70D0">
      <w:pPr>
        <w:pStyle w:val="150"/>
        <w:numPr>
          <w:ilvl w:val="0"/>
          <w:numId w:val="0"/>
        </w:numPr>
        <w:spacing w:after="180"/>
        <w:contextualSpacing/>
        <w:rPr>
          <w:rFonts w:hint="eastAsia"/>
          <w:sz w:val="20"/>
          <w:szCs w:val="20"/>
          <w:lang w:val="en-US" w:eastAsia="zh-CN"/>
        </w:rPr>
      </w:pPr>
    </w:p>
    <w:p w14:paraId="5707C0E6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3BDB72DA">
      <w:pPr>
        <w:spacing w:after="160"/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6CD1EA16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RAN1 </w:t>
      </w:r>
      <w:r>
        <w:rPr>
          <w:rFonts w:hint="eastAsia" w:eastAsiaTheme="minorEastAsia"/>
          <w:sz w:val="20"/>
          <w:szCs w:val="20"/>
        </w:rPr>
        <w:t xml:space="preserve">assumes 400MHz </w:t>
      </w:r>
      <w:r>
        <w:rPr>
          <w:rFonts w:eastAsiaTheme="minorEastAsia"/>
          <w:sz w:val="20"/>
          <w:szCs w:val="20"/>
        </w:rPr>
        <w:t>maximum channel bandwidth</w:t>
      </w:r>
      <w:r>
        <w:rPr>
          <w:rFonts w:hint="eastAsia" w:eastAsiaTheme="minorEastAsia"/>
          <w:sz w:val="20"/>
          <w:szCs w:val="20"/>
        </w:rPr>
        <w:t xml:space="preserve"> at network side and 30kHz SCS</w:t>
      </w:r>
      <w:r>
        <w:rPr>
          <w:rFonts w:eastAsiaTheme="minorEastAsia"/>
          <w:sz w:val="20"/>
          <w:szCs w:val="20"/>
        </w:rPr>
        <w:t xml:space="preserve"> </w:t>
      </w:r>
      <w:r>
        <w:rPr>
          <w:rFonts w:hint="eastAsia" w:eastAsiaTheme="minorEastAsia"/>
          <w:sz w:val="20"/>
          <w:szCs w:val="20"/>
        </w:rPr>
        <w:t>around 7GHz</w:t>
      </w:r>
      <w:r>
        <w:rPr>
          <w:rFonts w:eastAsiaTheme="minorEastAsia"/>
          <w:sz w:val="20"/>
          <w:szCs w:val="20"/>
        </w:rPr>
        <w:t xml:space="preserve"> </w:t>
      </w:r>
    </w:p>
    <w:p w14:paraId="4C0E467A">
      <w:pPr>
        <w:pStyle w:val="150"/>
        <w:numPr>
          <w:ilvl w:val="0"/>
          <w:numId w:val="32"/>
        </w:numPr>
        <w:overflowPunct/>
        <w:autoSpaceDE/>
        <w:autoSpaceDN/>
        <w:adjustRightInd/>
        <w:ind w:left="199" w:leftChars="83" w:firstLineChars="0"/>
        <w:textAlignment w:val="auto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S</w:t>
      </w:r>
      <w:r>
        <w:rPr>
          <w:rFonts w:hint="eastAsia" w:eastAsiaTheme="minorEastAsia"/>
          <w:sz w:val="20"/>
          <w:szCs w:val="20"/>
        </w:rPr>
        <w:t xml:space="preserve">tudy whether and how to enable UE to support 400MHz bandwidth </w:t>
      </w:r>
    </w:p>
    <w:p w14:paraId="4E19F8FC">
      <w:pPr>
        <w:rPr>
          <w:rFonts w:eastAsiaTheme="minorEastAsia"/>
        </w:rPr>
      </w:pPr>
    </w:p>
    <w:p w14:paraId="7DB35FCB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1A0ECC76">
      <w:pPr>
        <w:rPr>
          <w:rFonts w:ascii="Times New Roman" w:hAnsi="Times New Roman"/>
          <w:sz w:val="20"/>
          <w:szCs w:val="20"/>
          <w:highlight w:val="green"/>
        </w:rPr>
      </w:pPr>
      <w:r>
        <w:rPr>
          <w:rFonts w:ascii="Times New Roman" w:hAnsi="Times New Roman"/>
          <w:sz w:val="20"/>
          <w:szCs w:val="20"/>
          <w:highlight w:val="green"/>
        </w:rPr>
        <w:t>Agreement</w:t>
      </w:r>
    </w:p>
    <w:p w14:paraId="44C6878F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Study </w:t>
      </w:r>
      <w:r>
        <w:rPr>
          <w:rFonts w:ascii="Times New Roman" w:hAnsi="Times New Roman" w:eastAsia="Yu Mincho"/>
          <w:sz w:val="20"/>
          <w:szCs w:val="20"/>
          <w:lang w:eastAsia="ja-JP"/>
        </w:rPr>
        <w:t xml:space="preserve">the following smallest maximum </w:t>
      </w:r>
      <w:r>
        <w:rPr>
          <w:rFonts w:ascii="Times New Roman" w:hAnsi="Times New Roman"/>
          <w:sz w:val="20"/>
          <w:szCs w:val="20"/>
        </w:rPr>
        <w:t xml:space="preserve">supported </w:t>
      </w:r>
      <w:r>
        <w:rPr>
          <w:rFonts w:ascii="Times New Roman" w:hAnsi="Times New Roman" w:eastAsia="Yu Mincho"/>
          <w:sz w:val="20"/>
          <w:szCs w:val="20"/>
          <w:lang w:eastAsia="ja-JP"/>
        </w:rPr>
        <w:t xml:space="preserve">RF and BB </w:t>
      </w:r>
      <w:r>
        <w:rPr>
          <w:rFonts w:ascii="Times New Roman" w:hAnsi="Times New Roman"/>
          <w:sz w:val="20"/>
          <w:szCs w:val="20"/>
        </w:rPr>
        <w:t>UE BW</w:t>
      </w:r>
      <w:r>
        <w:rPr>
          <w:rFonts w:ascii="Times New Roman" w:hAnsi="Times New Roman" w:eastAsia="Yu Mincho"/>
          <w:sz w:val="20"/>
          <w:szCs w:val="20"/>
          <w:lang w:eastAsia="ja-JP"/>
        </w:rPr>
        <w:t xml:space="preserve"> without spectrum aggregation for </w:t>
      </w:r>
      <w:r>
        <w:rPr>
          <w:rFonts w:ascii="Times New Roman" w:hAnsi="Times New Roman"/>
          <w:sz w:val="20"/>
          <w:szCs w:val="20"/>
        </w:rPr>
        <w:t xml:space="preserve">at least one </w:t>
      </w:r>
      <w:r>
        <w:rPr>
          <w:rFonts w:ascii="Times New Roman" w:hAnsi="Times New Roman" w:eastAsia="Yu Mincho"/>
          <w:sz w:val="20"/>
          <w:szCs w:val="20"/>
          <w:lang w:eastAsia="ja-JP"/>
        </w:rPr>
        <w:t>low-tier device type supported by 6GR framework</w:t>
      </w:r>
      <w:r>
        <w:rPr>
          <w:rFonts w:ascii="Times New Roman" w:hAnsi="Times New Roman"/>
          <w:sz w:val="20"/>
          <w:szCs w:val="20"/>
        </w:rPr>
        <w:t xml:space="preserve"> from physical layer perspective, subject to further discussion and confirmation in RAN</w:t>
      </w:r>
    </w:p>
    <w:p w14:paraId="0F4B57BD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Opt1: 3MHz</w:t>
      </w:r>
    </w:p>
    <w:p w14:paraId="58719885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Opt2: 5MHz</w:t>
      </w:r>
    </w:p>
    <w:p w14:paraId="18F4FC43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Opt3: 10MHz</w:t>
      </w:r>
    </w:p>
    <w:p w14:paraId="097E56EF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Opt4: 20MHz</w:t>
      </w:r>
    </w:p>
    <w:p w14:paraId="4ED9B1F7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FFS: the UL bandwidth may be different to the DL bandwidth.</w:t>
      </w:r>
    </w:p>
    <w:p w14:paraId="108D31D7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FFS: the bandwidth value may be different for different SCS, duplex modes, and bands.</w:t>
      </w:r>
    </w:p>
    <w:p w14:paraId="13BDC82B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FFS: whether RF and BB UE BW are same or different.</w:t>
      </w:r>
    </w:p>
    <w:p w14:paraId="4F584B58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/>
          <w:sz w:val="20"/>
          <w:szCs w:val="20"/>
        </w:rPr>
        <w:t>Note: RAN4 involvement is necessary.</w:t>
      </w:r>
    </w:p>
    <w:p w14:paraId="2F0569AA">
      <w:pPr>
        <w:rPr>
          <w:rFonts w:eastAsiaTheme="minorEastAsia"/>
        </w:rPr>
      </w:pPr>
    </w:p>
    <w:p w14:paraId="0C030DAE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Min Channel bandwidth</w:t>
      </w:r>
    </w:p>
    <w:p w14:paraId="02401263">
      <w:pPr>
        <w:pStyle w:val="5"/>
        <w:bidi w:val="0"/>
        <w:rPr>
          <w:lang w:val="en-US"/>
        </w:rPr>
      </w:pPr>
      <w:r>
        <w:rPr>
          <w:lang w:val="en-US"/>
        </w:rPr>
        <w:t>RAN1 #12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 (</w:t>
      </w:r>
      <w:r>
        <w:rPr>
          <w:rFonts w:hint="eastAsia"/>
          <w:lang w:val="en-US" w:eastAsia="zh-CN"/>
        </w:rPr>
        <w:t>Nov</w:t>
      </w:r>
      <w:r>
        <w:rPr>
          <w:lang w:val="en-US"/>
        </w:rPr>
        <w:t>, 2025)</w:t>
      </w:r>
    </w:p>
    <w:p w14:paraId="3F7879F8">
      <w:pPr>
        <w:suppressAutoHyphens/>
        <w:spacing w:line="252" w:lineRule="auto"/>
        <w:contextualSpacing/>
        <w:jc w:val="both"/>
        <w:rPr>
          <w:rFonts w:hint="eastAsia" w:ascii="Times New Roman" w:hAnsi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eastAsiaTheme="minorEastAsia"/>
          <w:sz w:val="21"/>
          <w:szCs w:val="21"/>
          <w:highlight w:val="green"/>
          <w:lang w:val="en-US" w:eastAsia="zh-CN"/>
        </w:rPr>
        <w:t>Agreement</w:t>
      </w:r>
    </w:p>
    <w:p w14:paraId="1CCF1178">
      <w:pPr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Yu Mincho"/>
          <w:sz w:val="21"/>
          <w:szCs w:val="21"/>
        </w:rPr>
      </w:pPr>
      <w:r>
        <w:rPr>
          <w:rFonts w:eastAsia="Yu Mincho"/>
          <w:sz w:val="21"/>
          <w:szCs w:val="21"/>
        </w:rPr>
        <w:t>For the smallest maximum supported RF and BB UE BW without spectrum aggregation for at least one low-tier device type supported by 6GR framework, from physical layer perspective, RAN1 to consider at least</w:t>
      </w:r>
    </w:p>
    <w:p w14:paraId="4EDDF851">
      <w:pPr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Yu Mincho"/>
          <w:sz w:val="21"/>
          <w:szCs w:val="21"/>
        </w:rPr>
      </w:pPr>
      <w:r>
        <w:rPr>
          <w:rFonts w:eastAsia="Yu Mincho"/>
          <w:sz w:val="21"/>
          <w:szCs w:val="21"/>
        </w:rPr>
        <w:t>Overall device complexity</w:t>
      </w:r>
    </w:p>
    <w:p w14:paraId="7E9F91C8">
      <w:pPr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Yu Mincho"/>
          <w:sz w:val="21"/>
          <w:szCs w:val="21"/>
        </w:rPr>
      </w:pPr>
      <w:r>
        <w:rPr>
          <w:rFonts w:eastAsia="Yu Mincho"/>
          <w:sz w:val="21"/>
          <w:szCs w:val="21"/>
        </w:rPr>
        <w:t>Overall system performance impact</w:t>
      </w:r>
    </w:p>
    <w:p w14:paraId="4AA8B465">
      <w:pPr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Yu Mincho"/>
          <w:sz w:val="21"/>
          <w:szCs w:val="21"/>
        </w:rPr>
      </w:pPr>
      <w:r>
        <w:rPr>
          <w:rFonts w:eastAsia="Yu Mincho"/>
          <w:sz w:val="21"/>
          <w:szCs w:val="21"/>
        </w:rPr>
        <w:t>Energy efficiency for both BS and UE</w:t>
      </w:r>
    </w:p>
    <w:p w14:paraId="451D6194">
      <w:pPr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Yu Mincho"/>
          <w:sz w:val="21"/>
          <w:szCs w:val="21"/>
        </w:rPr>
      </w:pPr>
      <w:r>
        <w:rPr>
          <w:rFonts w:eastAsia="Yu Mincho"/>
          <w:sz w:val="21"/>
          <w:szCs w:val="21"/>
        </w:rPr>
        <w:t>Aim at a single common signals/channels design in idle mode and initial access for diverse device types, as well as meeting mobile broadband service requirements as high priority</w:t>
      </w:r>
    </w:p>
    <w:p w14:paraId="5CBC0834">
      <w:pPr>
        <w:rPr>
          <w:lang w:val="en-US"/>
        </w:rPr>
      </w:pPr>
    </w:p>
    <w:p w14:paraId="6C308B73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45EFC680">
      <w:pPr>
        <w:rPr>
          <w:sz w:val="20"/>
          <w:szCs w:val="20"/>
        </w:rPr>
      </w:pPr>
      <w:r>
        <w:rPr>
          <w:sz w:val="20"/>
          <w:szCs w:val="20"/>
        </w:rPr>
        <w:t>No further agreements</w:t>
      </w:r>
      <w:r>
        <w:rPr>
          <w:rFonts w:hint="eastAsia"/>
          <w:sz w:val="20"/>
          <w:szCs w:val="20"/>
        </w:rPr>
        <w:t>.</w:t>
      </w:r>
    </w:p>
    <w:p w14:paraId="1D62A04F"/>
    <w:p w14:paraId="6BACAEF8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3B9EDCA6">
      <w:pPr>
        <w:rPr>
          <w:sz w:val="20"/>
          <w:szCs w:val="20"/>
          <w:highlight w:val="green"/>
        </w:rPr>
      </w:pPr>
      <w:r>
        <w:rPr>
          <w:rFonts w:hint="eastAsia"/>
          <w:sz w:val="20"/>
          <w:szCs w:val="20"/>
          <w:highlight w:val="green"/>
        </w:rPr>
        <w:t>Agreement</w:t>
      </w:r>
    </w:p>
    <w:p w14:paraId="5883AB8A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For the study of RAN1 6GR design, consider the minimum spectrum allocation in which 6G can operate, </w:t>
      </w:r>
      <w:r>
        <w:rPr>
          <w:sz w:val="20"/>
          <w:szCs w:val="20"/>
        </w:rPr>
        <w:t>subject</w:t>
      </w:r>
      <w:r>
        <w:rPr>
          <w:rFonts w:hint="eastAsia"/>
          <w:sz w:val="20"/>
          <w:szCs w:val="20"/>
        </w:rPr>
        <w:t xml:space="preserve"> to </w:t>
      </w:r>
      <w:r>
        <w:rPr>
          <w:sz w:val="20"/>
          <w:szCs w:val="20"/>
        </w:rPr>
        <w:t>further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discussion</w:t>
      </w:r>
      <w:r>
        <w:rPr>
          <w:rFonts w:hint="eastAsia"/>
          <w:sz w:val="20"/>
          <w:szCs w:val="20"/>
        </w:rPr>
        <w:t xml:space="preserve"> and confirmation in RAN.</w:t>
      </w:r>
    </w:p>
    <w:p w14:paraId="4E58A1CD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rFonts w:hint="eastAsia"/>
          <w:sz w:val="20"/>
          <w:szCs w:val="20"/>
        </w:rPr>
        <w:t>Note: RAN4 involvement is necessary.</w:t>
      </w:r>
    </w:p>
    <w:p w14:paraId="5AC149BE">
      <w:pPr>
        <w:rPr>
          <w:rFonts w:eastAsiaTheme="minorEastAsia"/>
        </w:rPr>
      </w:pPr>
    </w:p>
    <w:p w14:paraId="50CD9DC1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Numerology</w:t>
      </w:r>
    </w:p>
    <w:p w14:paraId="7B29D40B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434EF2F6">
      <w:pPr>
        <w:rPr>
          <w:rFonts w:eastAsiaTheme="minorEastAsia"/>
          <w:sz w:val="20"/>
          <w:szCs w:val="20"/>
          <w:highlight w:val="green"/>
        </w:rPr>
      </w:pPr>
      <w:r>
        <w:rPr>
          <w:rFonts w:hint="eastAsia" w:eastAsiaTheme="minorEastAsia"/>
          <w:sz w:val="20"/>
          <w:szCs w:val="20"/>
          <w:highlight w:val="green"/>
        </w:rPr>
        <w:t>Agreement</w:t>
      </w:r>
    </w:p>
    <w:p w14:paraId="46CB9D4F">
      <w:pPr>
        <w:rPr>
          <w:rFonts w:eastAsiaTheme="minorEastAsia"/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6GR study assumes same SCS between 6GR Sync signals and other</w:t>
      </w:r>
      <w:r>
        <w:rPr>
          <w:rFonts w:hint="eastAsia"/>
          <w:sz w:val="20"/>
          <w:szCs w:val="20"/>
        </w:rPr>
        <w:t xml:space="preserve"> channels/signals (except P</w:t>
      </w:r>
      <w:r>
        <w:rPr>
          <w:rFonts w:hint="eastAsia" w:eastAsiaTheme="minorEastAsia"/>
          <w:sz w:val="20"/>
          <w:szCs w:val="20"/>
        </w:rPr>
        <w:t>RACH)</w:t>
      </w:r>
      <w:r>
        <w:rPr>
          <w:sz w:val="20"/>
          <w:szCs w:val="20"/>
        </w:rPr>
        <w:t xml:space="preserve"> </w:t>
      </w:r>
      <w:r>
        <w:rPr>
          <w:rFonts w:hint="eastAsia" w:eastAsiaTheme="minorEastAsia"/>
          <w:sz w:val="20"/>
          <w:szCs w:val="20"/>
        </w:rPr>
        <w:t>for a given band</w:t>
      </w:r>
      <w:r>
        <w:rPr>
          <w:rFonts w:hint="eastAsia"/>
          <w:sz w:val="20"/>
          <w:szCs w:val="20"/>
        </w:rPr>
        <w:t xml:space="preserve">. </w:t>
      </w:r>
    </w:p>
    <w:p w14:paraId="0C5EC6A7">
      <w:pPr>
        <w:pStyle w:val="150"/>
        <w:numPr>
          <w:ilvl w:val="0"/>
          <w:numId w:val="23"/>
        </w:numPr>
        <w:overflowPunct/>
        <w:autoSpaceDE/>
        <w:autoSpaceDN/>
        <w:adjustRightInd/>
        <w:ind w:left="922" w:leftChars="200" w:hanging="442" w:firstLineChars="0"/>
        <w:textAlignment w:val="auto"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 xml:space="preserve">FFS: same/different SCS between </w:t>
      </w:r>
      <w:r>
        <w:rPr>
          <w:sz w:val="20"/>
          <w:szCs w:val="20"/>
        </w:rPr>
        <w:t>6GR sync signal</w:t>
      </w:r>
      <w:r>
        <w:rPr>
          <w:rFonts w:hint="eastAsia" w:eastAsiaTheme="minorEastAsia"/>
          <w:sz w:val="20"/>
          <w:szCs w:val="20"/>
        </w:rPr>
        <w:t xml:space="preserve"> and other </w:t>
      </w:r>
      <w:r>
        <w:rPr>
          <w:rFonts w:hint="eastAsia"/>
          <w:sz w:val="20"/>
          <w:szCs w:val="20"/>
        </w:rPr>
        <w:t>channels/signals (except P</w:t>
      </w:r>
      <w:r>
        <w:rPr>
          <w:rFonts w:hint="eastAsia" w:eastAsiaTheme="minorEastAsia"/>
          <w:sz w:val="20"/>
          <w:szCs w:val="20"/>
        </w:rPr>
        <w:t>RACH) for FR2-1</w:t>
      </w:r>
      <w:r>
        <w:rPr>
          <w:rFonts w:hint="eastAsia"/>
          <w:sz w:val="20"/>
          <w:szCs w:val="20"/>
        </w:rPr>
        <w:t>.</w:t>
      </w:r>
    </w:p>
    <w:p w14:paraId="2AF7BE2D">
      <w:pPr>
        <w:pStyle w:val="150"/>
        <w:numPr>
          <w:ilvl w:val="0"/>
          <w:numId w:val="23"/>
        </w:numPr>
        <w:overflowPunct/>
        <w:autoSpaceDE/>
        <w:autoSpaceDN/>
        <w:adjustRightInd/>
        <w:spacing w:after="160"/>
        <w:ind w:left="480" w:leftChars="200" w:firstLineChars="0"/>
        <w:textAlignment w:val="auto"/>
        <w:rPr>
          <w:sz w:val="20"/>
          <w:szCs w:val="20"/>
        </w:rPr>
      </w:pPr>
      <w:r>
        <w:rPr>
          <w:rFonts w:hint="eastAsia" w:eastAsiaTheme="minorEastAsia"/>
          <w:sz w:val="20"/>
          <w:szCs w:val="20"/>
        </w:rPr>
        <w:t>Note</w:t>
      </w:r>
      <w:r>
        <w:rPr>
          <w:rFonts w:hint="eastAsia"/>
          <w:sz w:val="20"/>
          <w:szCs w:val="20"/>
        </w:rPr>
        <w:t>:</w:t>
      </w:r>
      <w:r>
        <w:rPr>
          <w:rFonts w:hint="eastAsia" w:eastAsiaTheme="minorEastAsia"/>
          <w:sz w:val="20"/>
          <w:szCs w:val="20"/>
        </w:rPr>
        <w:t xml:space="preserve"> ISAC is </w:t>
      </w:r>
      <w:r>
        <w:rPr>
          <w:rFonts w:eastAsiaTheme="minorEastAsia"/>
          <w:sz w:val="20"/>
          <w:szCs w:val="20"/>
        </w:rPr>
        <w:t>separate</w:t>
      </w:r>
      <w:r>
        <w:rPr>
          <w:rFonts w:hint="eastAsia" w:eastAsiaTheme="minorEastAsia"/>
          <w:sz w:val="20"/>
          <w:szCs w:val="20"/>
        </w:rPr>
        <w:t>ly discussed in ISAC session.</w:t>
      </w:r>
    </w:p>
    <w:p w14:paraId="4E527228">
      <w:pPr>
        <w:rPr>
          <w:rFonts w:eastAsiaTheme="minorEastAsia"/>
        </w:rPr>
      </w:pPr>
    </w:p>
    <w:p w14:paraId="10354BCE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21A71142">
      <w:pPr>
        <w:rPr>
          <w:rFonts w:ascii="Times New Roman" w:hAnsi="Times New Roman" w:eastAsia="等线"/>
          <w:sz w:val="20"/>
          <w:szCs w:val="20"/>
          <w:highlight w:val="green"/>
        </w:rPr>
      </w:pPr>
      <w:r>
        <w:rPr>
          <w:rFonts w:ascii="Times New Roman" w:hAnsi="Times New Roman" w:eastAsia="等线"/>
          <w:sz w:val="20"/>
          <w:szCs w:val="20"/>
          <w:highlight w:val="green"/>
        </w:rPr>
        <w:t>Agreement</w:t>
      </w:r>
    </w:p>
    <w:p w14:paraId="214DC581">
      <w:pPr>
        <w:numPr>
          <w:ilvl w:val="0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 xml:space="preserve">6GR takes the following SCS as start point for discussion for all the signals/channels except PRACH. </w:t>
      </w:r>
    </w:p>
    <w:p w14:paraId="3F9EA601">
      <w:pPr>
        <w:numPr>
          <w:ilvl w:val="1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For sub 6GHz</w:t>
      </w:r>
    </w:p>
    <w:p w14:paraId="44533A6C">
      <w:pPr>
        <w:numPr>
          <w:ilvl w:val="2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The following subcarrier spacing is at least supported</w:t>
      </w:r>
    </w:p>
    <w:p w14:paraId="47F514B4">
      <w:pPr>
        <w:numPr>
          <w:ilvl w:val="3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15kHz SCS for FDD, 30kHz SCS for TDD</w:t>
      </w:r>
    </w:p>
    <w:p w14:paraId="20282492">
      <w:pPr>
        <w:numPr>
          <w:ilvl w:val="2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FFS: 30kHz SCS for FDD for around e.g., 1-2.5GHz</w:t>
      </w:r>
    </w:p>
    <w:p w14:paraId="3F0FAD16">
      <w:pPr>
        <w:numPr>
          <w:ilvl w:val="2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FFS: 7.5kHz SCS for sub1GHz (FDD)</w:t>
      </w:r>
    </w:p>
    <w:p w14:paraId="576FF9BC">
      <w:pPr>
        <w:numPr>
          <w:ilvl w:val="2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Whether to discuss the FFS will be subject to RANP decision.</w:t>
      </w:r>
    </w:p>
    <w:p w14:paraId="7DCC8BD7">
      <w:pPr>
        <w:numPr>
          <w:ilvl w:val="1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For around 7GHz</w:t>
      </w:r>
    </w:p>
    <w:p w14:paraId="2B1DC28C">
      <w:pPr>
        <w:numPr>
          <w:ilvl w:val="2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The following subcarrier spacing options can be studied</w:t>
      </w:r>
    </w:p>
    <w:p w14:paraId="2FBD500C">
      <w:pPr>
        <w:numPr>
          <w:ilvl w:val="3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30kHz, 60kHz</w:t>
      </w:r>
    </w:p>
    <w:p w14:paraId="0CB4B860">
      <w:pPr>
        <w:numPr>
          <w:ilvl w:val="1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FFS: For around 15GHz</w:t>
      </w:r>
    </w:p>
    <w:p w14:paraId="0C11F074">
      <w:pPr>
        <w:numPr>
          <w:ilvl w:val="2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The following subcarrier spacing options can be studied</w:t>
      </w:r>
    </w:p>
    <w:p w14:paraId="274240BF">
      <w:pPr>
        <w:numPr>
          <w:ilvl w:val="3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 xml:space="preserve">30kHz, 60kHz, 120kHz </w:t>
      </w:r>
    </w:p>
    <w:p w14:paraId="33BAB87A">
      <w:pPr>
        <w:numPr>
          <w:ilvl w:val="2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Whether to discuss it will be subject to RANP decision</w:t>
      </w:r>
    </w:p>
    <w:p w14:paraId="1D43F90A">
      <w:pPr>
        <w:numPr>
          <w:ilvl w:val="1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For between 24.25GHz - 52.6GHz</w:t>
      </w:r>
    </w:p>
    <w:p w14:paraId="53B5AA81">
      <w:pPr>
        <w:numPr>
          <w:ilvl w:val="2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Subcarrier spacing 120kHz is supported</w:t>
      </w:r>
    </w:p>
    <w:p w14:paraId="7B5B07B4">
      <w:pPr>
        <w:numPr>
          <w:ilvl w:val="1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FFS whether to allow using additional subcarrier spacing for SSB</w:t>
      </w:r>
    </w:p>
    <w:p w14:paraId="6E43735B">
      <w:pPr>
        <w:numPr>
          <w:ilvl w:val="0"/>
          <w:numId w:val="33"/>
        </w:numPr>
        <w:rPr>
          <w:rFonts w:ascii="Times New Roman" w:hAnsi="Times New Roman" w:eastAsia="等线"/>
          <w:sz w:val="20"/>
          <w:szCs w:val="20"/>
        </w:rPr>
      </w:pPr>
      <w:r>
        <w:rPr>
          <w:rFonts w:ascii="Times New Roman" w:hAnsi="Times New Roman" w:eastAsia="等线"/>
          <w:sz w:val="20"/>
          <w:szCs w:val="20"/>
        </w:rPr>
        <w:t>FFS subcarrier spacing for PRACH and up to initial access discussion.</w:t>
      </w:r>
    </w:p>
    <w:p w14:paraId="2CAD6AB6">
      <w:pPr>
        <w:rPr>
          <w:rFonts w:ascii="Times New Roman" w:hAnsi="Times New Roman" w:eastAsia="等线"/>
          <w:sz w:val="20"/>
          <w:szCs w:val="20"/>
          <w:highlight w:val="cyan"/>
        </w:rPr>
      </w:pPr>
    </w:p>
    <w:p w14:paraId="13E39D50">
      <w:pPr>
        <w:rPr>
          <w:rFonts w:ascii="Times New Roman" w:hAnsi="Times New Roman" w:eastAsia="等线"/>
          <w:b/>
          <w:bCs/>
          <w:sz w:val="20"/>
          <w:szCs w:val="20"/>
        </w:rPr>
      </w:pPr>
      <w:r>
        <w:rPr>
          <w:rFonts w:ascii="Times New Roman" w:hAnsi="Times New Roman" w:eastAsia="等线"/>
          <w:b/>
          <w:bCs/>
          <w:sz w:val="20"/>
          <w:szCs w:val="20"/>
        </w:rPr>
        <w:t>Conclusion</w:t>
      </w:r>
    </w:p>
    <w:p w14:paraId="1E16CDB2">
      <w:pPr>
        <w:rPr>
          <w:sz w:val="20"/>
          <w:szCs w:val="20"/>
        </w:rPr>
      </w:pPr>
      <w:r>
        <w:rPr>
          <w:sz w:val="20"/>
          <w:szCs w:val="20"/>
        </w:rPr>
        <w:t>Numerologies for sensing is up to sensing agenda discussion.</w:t>
      </w:r>
    </w:p>
    <w:p w14:paraId="3221261F">
      <w:pPr>
        <w:rPr>
          <w:rFonts w:eastAsiaTheme="minorEastAsia"/>
        </w:rPr>
      </w:pPr>
    </w:p>
    <w:p w14:paraId="79D9EFE4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Spectrum utilization</w:t>
      </w:r>
    </w:p>
    <w:p w14:paraId="38D4FDCE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5E19AAF7">
      <w:pPr>
        <w:rPr>
          <w:sz w:val="20"/>
          <w:szCs w:val="20"/>
        </w:rPr>
      </w:pPr>
      <w:r>
        <w:rPr>
          <w:sz w:val="20"/>
          <w:szCs w:val="20"/>
        </w:rPr>
        <w:t>No Further agreements</w:t>
      </w:r>
      <w:r>
        <w:rPr>
          <w:rFonts w:hint="eastAsia"/>
          <w:sz w:val="20"/>
          <w:szCs w:val="20"/>
        </w:rPr>
        <w:t>.</w:t>
      </w:r>
    </w:p>
    <w:p w14:paraId="19C0AB7C"/>
    <w:p w14:paraId="0F7F8127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661BB706">
      <w:pPr>
        <w:rPr>
          <w:rFonts w:ascii="Times New Roman" w:hAnsi="Times New Roman"/>
          <w:sz w:val="20"/>
          <w:szCs w:val="15"/>
          <w:highlight w:val="green"/>
        </w:rPr>
      </w:pPr>
      <w:r>
        <w:rPr>
          <w:rFonts w:ascii="Times New Roman" w:hAnsi="Times New Roman"/>
          <w:sz w:val="20"/>
          <w:szCs w:val="15"/>
          <w:highlight w:val="green"/>
        </w:rPr>
        <w:t>Agreement</w:t>
      </w:r>
    </w:p>
    <w:p w14:paraId="50495937">
      <w:pPr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>Study and identify the lessons learned from NR spectrum utilization and aggregation framework.</w:t>
      </w:r>
    </w:p>
    <w:p w14:paraId="28F06C5F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DC is subject to RANP decision in June 2026.</w:t>
      </w:r>
    </w:p>
    <w:p w14:paraId="2A7A46BD">
      <w:pPr>
        <w:pStyle w:val="150"/>
        <w:numPr>
          <w:ilvl w:val="0"/>
          <w:numId w:val="31"/>
        </w:numPr>
        <w:spacing w:after="180"/>
        <w:ind w:firstLineChars="0"/>
        <w:contextualSpacing/>
        <w:rPr>
          <w:sz w:val="20"/>
          <w:szCs w:val="20"/>
        </w:rPr>
      </w:pPr>
      <w:r>
        <w:rPr>
          <w:sz w:val="20"/>
          <w:szCs w:val="20"/>
        </w:rPr>
        <w:t>Note: MRSS aspects are separate discussion.</w:t>
      </w:r>
    </w:p>
    <w:p w14:paraId="07768FAC">
      <w:pPr>
        <w:rPr>
          <w:rFonts w:eastAsiaTheme="minorEastAsia"/>
        </w:rPr>
      </w:pPr>
    </w:p>
    <w:p w14:paraId="0A79B1FD">
      <w:pPr>
        <w:pStyle w:val="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Sync raster</w:t>
      </w:r>
    </w:p>
    <w:p w14:paraId="79ADF7DF">
      <w:pPr>
        <w:pStyle w:val="5"/>
        <w:bidi w:val="0"/>
        <w:rPr>
          <w:lang w:val="en-US"/>
        </w:rPr>
      </w:pPr>
      <w:r>
        <w:rPr>
          <w:lang w:val="en-US"/>
        </w:rPr>
        <w:t>RAN1 #122bis (Oct, 2025)</w:t>
      </w:r>
    </w:p>
    <w:p w14:paraId="220B125C">
      <w:pPr>
        <w:rPr>
          <w:sz w:val="20"/>
          <w:szCs w:val="20"/>
        </w:rPr>
      </w:pPr>
      <w:r>
        <w:rPr>
          <w:sz w:val="20"/>
          <w:szCs w:val="20"/>
        </w:rPr>
        <w:t>No further agreements</w:t>
      </w:r>
      <w:r>
        <w:rPr>
          <w:rFonts w:hint="eastAsia"/>
          <w:sz w:val="20"/>
          <w:szCs w:val="20"/>
        </w:rPr>
        <w:t>.</w:t>
      </w:r>
    </w:p>
    <w:p w14:paraId="1DCC2013"/>
    <w:p w14:paraId="3AF74BC6">
      <w:pPr>
        <w:pStyle w:val="5"/>
        <w:bidi w:val="0"/>
        <w:rPr>
          <w:lang w:val="en-US"/>
        </w:rPr>
      </w:pPr>
      <w:r>
        <w:rPr>
          <w:lang w:val="en-US"/>
        </w:rPr>
        <w:t>RAN1 #122 (Aug, 2025)</w:t>
      </w:r>
    </w:p>
    <w:p w14:paraId="68924E80">
      <w:pPr>
        <w:rPr>
          <w:rFonts w:ascii="Times New Roman" w:hAnsi="Times New Roman"/>
          <w:sz w:val="20"/>
          <w:szCs w:val="15"/>
          <w:highlight w:val="green"/>
        </w:rPr>
      </w:pPr>
      <w:r>
        <w:rPr>
          <w:rFonts w:ascii="Times New Roman" w:hAnsi="Times New Roman"/>
          <w:sz w:val="20"/>
          <w:szCs w:val="15"/>
          <w:highlight w:val="green"/>
        </w:rPr>
        <w:t>Agreement</w:t>
      </w:r>
    </w:p>
    <w:p w14:paraId="4FDA7BA3">
      <w:pPr>
        <w:rPr>
          <w:rFonts w:ascii="Times New Roman" w:hAnsi="Times New Roman"/>
          <w:sz w:val="20"/>
          <w:szCs w:val="15"/>
        </w:rPr>
      </w:pPr>
      <w:r>
        <w:rPr>
          <w:rFonts w:ascii="Times New Roman" w:hAnsi="Times New Roman"/>
          <w:sz w:val="20"/>
          <w:szCs w:val="15"/>
        </w:rPr>
        <w:t>Identify the high-level aspects which impact on the 6GR sync signal structure and associated periodicity.</w:t>
      </w:r>
    </w:p>
    <w:p w14:paraId="390F19ED">
      <w:pPr>
        <w:rPr>
          <w:rFonts w:eastAsiaTheme="minorEastAsia"/>
        </w:rPr>
      </w:pPr>
    </w:p>
    <w:p w14:paraId="2E41452E">
      <w:pPr>
        <w:rPr>
          <w:bCs/>
          <w:color w:val="0070C0"/>
          <w:u w:val="single"/>
        </w:rPr>
      </w:pPr>
    </w:p>
    <w:p w14:paraId="1D53CAE8">
      <w:pPr>
        <w:rPr>
          <w:bCs/>
          <w:color w:val="0070C0"/>
          <w:u w:val="single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960E50"/>
    <w:multiLevelType w:val="singleLevel"/>
    <w:tmpl w:val="AA960E50"/>
    <w:lvl w:ilvl="0" w:tentative="0">
      <w:start w:val="1"/>
      <w:numFmt w:val="bullet"/>
      <w:lvlText w:val="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</w:rPr>
    </w:lvl>
  </w:abstractNum>
  <w:abstractNum w:abstractNumId="1">
    <w:nsid w:val="C0876866"/>
    <w:multiLevelType w:val="multilevel"/>
    <w:tmpl w:val="C0876866"/>
    <w:lvl w:ilvl="0" w:tentative="0">
      <w:start w:val="1"/>
      <w:numFmt w:val="bullet"/>
      <w:lvlText w:val=""/>
      <w:lvlJc w:val="left"/>
      <w:pPr>
        <w:tabs>
          <w:tab w:val="left" w:pos="-420"/>
        </w:tabs>
        <w:ind w:left="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</w:abstractNum>
  <w:abstractNum w:abstractNumId="2">
    <w:nsid w:val="D32C9ECB"/>
    <w:multiLevelType w:val="singleLevel"/>
    <w:tmpl w:val="D32C9ECB"/>
    <w:lvl w:ilvl="0" w:tentative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</w:abstractNum>
  <w:abstractNum w:abstractNumId="3">
    <w:nsid w:val="DBFFA9B5"/>
    <w:multiLevelType w:val="multilevel"/>
    <w:tmpl w:val="DBFFA9B5"/>
    <w:lvl w:ilvl="0" w:tentative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210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252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94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336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378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420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462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5040" w:leftChars="0" w:hanging="420" w:firstLineChars="0"/>
      </w:pPr>
      <w:rPr>
        <w:rFonts w:hint="default" w:ascii="Wingdings" w:hAnsi="Wingdings"/>
      </w:rPr>
    </w:lvl>
  </w:abstractNum>
  <w:abstractNum w:abstractNumId="4">
    <w:nsid w:val="E1892434"/>
    <w:multiLevelType w:val="singleLevel"/>
    <w:tmpl w:val="E1892434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5">
    <w:nsid w:val="FA0317B9"/>
    <w:multiLevelType w:val="singleLevel"/>
    <w:tmpl w:val="FA0317B9"/>
    <w:lvl w:ilvl="0" w:tentative="0">
      <w:start w:val="1"/>
      <w:numFmt w:val="bullet"/>
      <w:lvlText w:val="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</w:rPr>
    </w:lvl>
  </w:abstractNum>
  <w:abstractNum w:abstractNumId="6">
    <w:nsid w:val="FB6994D2"/>
    <w:multiLevelType w:val="singleLevel"/>
    <w:tmpl w:val="FB6994D2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7">
    <w:nsid w:val="055675F3"/>
    <w:multiLevelType w:val="multilevel"/>
    <w:tmpl w:val="055675F3"/>
    <w:lvl w:ilvl="0" w:tentative="0">
      <w:start w:val="1"/>
      <w:numFmt w:val="bullet"/>
      <w:lvlText w:val="o"/>
      <w:lvlJc w:val="left"/>
      <w:pPr>
        <w:ind w:left="880" w:hanging="44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680" w:hanging="44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7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00" w:hanging="440"/>
      </w:pPr>
      <w:rPr>
        <w:rFonts w:hint="default" w:ascii="Wingdings" w:hAnsi="Wingdings"/>
      </w:rPr>
    </w:lvl>
  </w:abstractNum>
  <w:abstractNum w:abstractNumId="8">
    <w:nsid w:val="06B87F67"/>
    <w:multiLevelType w:val="multilevel"/>
    <w:tmpl w:val="06B87F6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0EC00729"/>
    <w:multiLevelType w:val="multilevel"/>
    <w:tmpl w:val="0EC00729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7"/>
      <w:numFmt w:val="bullet"/>
      <w:lvlText w:val="-"/>
      <w:lvlJc w:val="left"/>
      <w:pPr>
        <w:ind w:left="1680" w:hanging="420"/>
      </w:pPr>
      <w:rPr>
        <w:rFonts w:hint="default" w:ascii="Times New Roman" w:hAnsi="Times New Roman" w:cs="Times New Roman" w:eastAsiaTheme="minorEastAsia"/>
      </w:rPr>
    </w:lvl>
    <w:lvl w:ilvl="4" w:tentative="0">
      <w:start w:val="1"/>
      <w:numFmt w:val="bullet"/>
      <w:lvlText w:val="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>
    <w:nsid w:val="138223CD"/>
    <w:multiLevelType w:val="multilevel"/>
    <w:tmpl w:val="138223CD"/>
    <w:lvl w:ilvl="0" w:tentative="0">
      <w:start w:val="400"/>
      <w:numFmt w:val="bullet"/>
      <w:lvlText w:val="-"/>
      <w:lvlJc w:val="left"/>
      <w:pPr>
        <w:ind w:left="440" w:hanging="440"/>
      </w:pPr>
      <w:rPr>
        <w:rFonts w:hint="default" w:ascii="Arial" w:hAnsi="Arial" w:cs="Arial" w:eastAsiaTheme="minorHAnsi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1">
    <w:nsid w:val="159A56CF"/>
    <w:multiLevelType w:val="multilevel"/>
    <w:tmpl w:val="159A56CF"/>
    <w:lvl w:ilvl="0" w:tentative="0">
      <w:start w:val="1"/>
      <w:numFmt w:val="bullet"/>
      <w:lvlText w:val=""/>
      <w:lvlJc w:val="left"/>
      <w:pPr>
        <w:tabs>
          <w:tab w:val="left" w:pos="0"/>
        </w:tabs>
        <w:ind w:left="44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"/>
      <w:lvlJc w:val="left"/>
      <w:pPr>
        <w:tabs>
          <w:tab w:val="left" w:pos="0"/>
        </w:tabs>
        <w:ind w:left="88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"/>
      <w:lvlJc w:val="left"/>
      <w:pPr>
        <w:tabs>
          <w:tab w:val="left" w:pos="0"/>
        </w:tabs>
        <w:ind w:left="132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"/>
      <w:lvlJc w:val="left"/>
      <w:pPr>
        <w:tabs>
          <w:tab w:val="left" w:pos="0"/>
        </w:tabs>
        <w:ind w:left="220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"/>
      <w:lvlJc w:val="left"/>
      <w:pPr>
        <w:tabs>
          <w:tab w:val="left" w:pos="0"/>
        </w:tabs>
        <w:ind w:left="264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"/>
      <w:lvlJc w:val="left"/>
      <w:pPr>
        <w:tabs>
          <w:tab w:val="left" w:pos="0"/>
        </w:tabs>
        <w:ind w:left="352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"/>
      <w:lvlJc w:val="left"/>
      <w:pPr>
        <w:tabs>
          <w:tab w:val="left" w:pos="0"/>
        </w:tabs>
        <w:ind w:left="3960" w:hanging="440"/>
      </w:pPr>
      <w:rPr>
        <w:rFonts w:hint="default" w:ascii="Wingdings" w:hAnsi="Wingdings" w:cs="Wingdings"/>
      </w:rPr>
    </w:lvl>
  </w:abstractNum>
  <w:abstractNum w:abstractNumId="12">
    <w:nsid w:val="19CB9DE4"/>
    <w:multiLevelType w:val="multilevel"/>
    <w:tmpl w:val="19CB9DE4"/>
    <w:lvl w:ilvl="0" w:tentative="0">
      <w:start w:val="1"/>
      <w:numFmt w:val="bullet"/>
      <w:lvlText w:val="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25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29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33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37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42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46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50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5460" w:hanging="420"/>
      </w:pPr>
      <w:rPr>
        <w:rFonts w:hint="default" w:ascii="Wingdings" w:hAnsi="Wingdings"/>
      </w:rPr>
    </w:lvl>
  </w:abstractNum>
  <w:abstractNum w:abstractNumId="13">
    <w:nsid w:val="1DC70AF4"/>
    <w:multiLevelType w:val="multilevel"/>
    <w:tmpl w:val="1DC70AF4"/>
    <w:lvl w:ilvl="0" w:tentative="0">
      <w:start w:val="1"/>
      <w:numFmt w:val="lowerLetter"/>
      <w:lvlText w:val="%1)"/>
      <w:lvlJc w:val="left"/>
      <w:pPr>
        <w:tabs>
          <w:tab w:val="left" w:pos="-1260"/>
        </w:tabs>
        <w:ind w:left="18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-1260"/>
        </w:tabs>
        <w:ind w:left="90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1260"/>
        </w:tabs>
        <w:ind w:left="1620" w:hanging="180"/>
      </w:pPr>
    </w:lvl>
    <w:lvl w:ilvl="3" w:tentative="0">
      <w:start w:val="1"/>
      <w:numFmt w:val="decimal"/>
      <w:lvlText w:val="%4."/>
      <w:lvlJc w:val="left"/>
      <w:pPr>
        <w:tabs>
          <w:tab w:val="left" w:pos="-1260"/>
        </w:tabs>
        <w:ind w:left="234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1260"/>
        </w:tabs>
        <w:ind w:left="306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1260"/>
        </w:tabs>
        <w:ind w:left="3780" w:hanging="180"/>
      </w:pPr>
    </w:lvl>
    <w:lvl w:ilvl="6" w:tentative="0">
      <w:start w:val="1"/>
      <w:numFmt w:val="decimal"/>
      <w:lvlText w:val="%7."/>
      <w:lvlJc w:val="left"/>
      <w:pPr>
        <w:tabs>
          <w:tab w:val="left" w:pos="-1260"/>
        </w:tabs>
        <w:ind w:left="450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1260"/>
        </w:tabs>
        <w:ind w:left="522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1260"/>
        </w:tabs>
        <w:ind w:left="5940" w:hanging="180"/>
      </w:pPr>
    </w:lvl>
  </w:abstractNum>
  <w:abstractNum w:abstractNumId="14">
    <w:nsid w:val="1E670112"/>
    <w:multiLevelType w:val="multilevel"/>
    <w:tmpl w:val="1E67011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6">
    <w:nsid w:val="2D9D23D2"/>
    <w:multiLevelType w:val="multilevel"/>
    <w:tmpl w:val="2D9D23D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84FA467"/>
    <w:multiLevelType w:val="singleLevel"/>
    <w:tmpl w:val="384FA467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18">
    <w:nsid w:val="3AD37A3D"/>
    <w:multiLevelType w:val="multilevel"/>
    <w:tmpl w:val="3AD37A3D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>
    <w:nsid w:val="3E06308F"/>
    <w:multiLevelType w:val="multilevel"/>
    <w:tmpl w:val="3E06308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3FE91D8F"/>
    <w:multiLevelType w:val="multilevel"/>
    <w:tmpl w:val="3FE91D8F"/>
    <w:lvl w:ilvl="0" w:tentative="0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1">
    <w:nsid w:val="46B43B9D"/>
    <w:multiLevelType w:val="multilevel"/>
    <w:tmpl w:val="46B43B9D"/>
    <w:lvl w:ilvl="0" w:tentative="0">
      <w:start w:val="1"/>
      <w:numFmt w:val="decimal"/>
      <w:pStyle w:val="171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A764987"/>
    <w:multiLevelType w:val="multilevel"/>
    <w:tmpl w:val="4A764987"/>
    <w:lvl w:ilvl="0" w:tentative="0">
      <w:start w:val="0"/>
      <w:numFmt w:val="bullet"/>
      <w:lvlText w:val=""/>
      <w:lvlJc w:val="left"/>
      <w:pPr>
        <w:ind w:left="36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0"/>
      <w:numFmt w:val="bullet"/>
      <w:lvlText w:val="•"/>
      <w:lvlJc w:val="left"/>
      <w:pPr>
        <w:ind w:left="2880" w:hanging="720"/>
      </w:pPr>
      <w:rPr>
        <w:rFonts w:hint="default" w:ascii="Times New Roman" w:hAnsi="Times New Roman" w:eastAsia="Times New Roman" w:cs="Times New Roman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>
    <w:nsid w:val="4AD91956"/>
    <w:multiLevelType w:val="multilevel"/>
    <w:tmpl w:val="4AD91956"/>
    <w:lvl w:ilvl="0" w:tentative="0">
      <w:start w:val="1"/>
      <w:numFmt w:val="bullet"/>
      <w:lvlText w:val="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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40" w:hanging="440"/>
      </w:pPr>
      <w:rPr>
        <w:rFonts w:hint="default" w:ascii="Symbol" w:hAnsi="Symbol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4">
    <w:nsid w:val="4D6E3167"/>
    <w:multiLevelType w:val="multilevel"/>
    <w:tmpl w:val="4D6E3167"/>
    <w:lvl w:ilvl="0" w:tentative="0">
      <w:start w:val="1"/>
      <w:numFmt w:val="decimal"/>
      <w:pStyle w:val="162"/>
      <w:suff w:val="space"/>
      <w:lvlText w:val="Proposal #%1:"/>
      <w:lvlJc w:val="left"/>
      <w:pPr>
        <w:ind w:left="1070" w:hanging="360"/>
      </w:pPr>
      <w:rPr>
        <w:rFonts w:hint="default" w:ascii="Times New Roman" w:hAnsi="Times New Roman"/>
        <w:b w:val="0"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0BC10C2"/>
    <w:multiLevelType w:val="multilevel"/>
    <w:tmpl w:val="50BC10C2"/>
    <w:lvl w:ilvl="0" w:tentative="0">
      <w:start w:val="1"/>
      <w:numFmt w:val="bullet"/>
      <w:lvlText w:val="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"/>
      <w:lvlJc w:val="left"/>
      <w:pPr>
        <w:ind w:left="880" w:hanging="440"/>
      </w:pPr>
      <w:rPr>
        <w:rFonts w:hint="default" w:ascii="Symbol" w:hAnsi="Symbol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6">
    <w:nsid w:val="587A1663"/>
    <w:multiLevelType w:val="multilevel"/>
    <w:tmpl w:val="587A166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8">
    <w:nsid w:val="60FE1FED"/>
    <w:multiLevelType w:val="multilevel"/>
    <w:tmpl w:val="60FE1FED"/>
    <w:lvl w:ilvl="0" w:tentative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210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252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94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336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378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420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462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5040" w:leftChars="0" w:hanging="420" w:firstLineChars="0"/>
      </w:pPr>
      <w:rPr>
        <w:rFonts w:hint="default" w:ascii="Wingdings" w:hAnsi="Wingdings"/>
      </w:rPr>
    </w:lvl>
  </w:abstractNum>
  <w:abstractNum w:abstractNumId="29">
    <w:nsid w:val="62AA58D9"/>
    <w:multiLevelType w:val="multilevel"/>
    <w:tmpl w:val="62AA58D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70146DC0"/>
    <w:multiLevelType w:val="multilevel"/>
    <w:tmpl w:val="70146DC0"/>
    <w:lvl w:ilvl="0" w:tentative="0">
      <w:start w:val="1"/>
      <w:numFmt w:val="bullet"/>
      <w:pStyle w:val="177"/>
      <w:lvlText w:val=""/>
      <w:lvlJc w:val="left"/>
      <w:pPr>
        <w:tabs>
          <w:tab w:val="left" w:pos="500"/>
        </w:tabs>
        <w:ind w:left="50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5260"/>
        </w:tabs>
        <w:ind w:left="-52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540"/>
        </w:tabs>
        <w:ind w:left="-45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3820"/>
        </w:tabs>
        <w:ind w:left="-38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3100"/>
        </w:tabs>
        <w:ind w:left="-31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2380"/>
        </w:tabs>
        <w:ind w:left="-2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1660"/>
        </w:tabs>
        <w:ind w:left="-16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940"/>
        </w:tabs>
        <w:ind w:left="-9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220"/>
        </w:tabs>
        <w:ind w:left="-220" w:hanging="360"/>
      </w:pPr>
      <w:rPr>
        <w:rFonts w:hint="default" w:ascii="Wingdings" w:hAnsi="Wingdings"/>
      </w:rPr>
    </w:lvl>
  </w:abstractNum>
  <w:abstractNum w:abstractNumId="31">
    <w:nsid w:val="73415ED0"/>
    <w:multiLevelType w:val="multilevel"/>
    <w:tmpl w:val="73415ED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D8354CD"/>
    <w:multiLevelType w:val="multilevel"/>
    <w:tmpl w:val="7D8354C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8"/>
  </w:num>
  <w:num w:numId="2">
    <w:abstractNumId w:val="24"/>
  </w:num>
  <w:num w:numId="3">
    <w:abstractNumId w:val="21"/>
  </w:num>
  <w:num w:numId="4">
    <w:abstractNumId w:val="30"/>
  </w:num>
  <w:num w:numId="5">
    <w:abstractNumId w:val="15"/>
  </w:num>
  <w:num w:numId="6">
    <w:abstractNumId w:val="13"/>
  </w:num>
  <w:num w:numId="7">
    <w:abstractNumId w:val="9"/>
  </w:num>
  <w:num w:numId="8">
    <w:abstractNumId w:val="27"/>
  </w:num>
  <w:num w:numId="9">
    <w:abstractNumId w:val="28"/>
  </w:num>
  <w:num w:numId="10">
    <w:abstractNumId w:val="0"/>
  </w:num>
  <w:num w:numId="11">
    <w:abstractNumId w:val="16"/>
  </w:num>
  <w:num w:numId="12">
    <w:abstractNumId w:val="6"/>
  </w:num>
  <w:num w:numId="13">
    <w:abstractNumId w:val="17"/>
  </w:num>
  <w:num w:numId="14">
    <w:abstractNumId w:val="2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4"/>
  </w:num>
  <w:num w:numId="20">
    <w:abstractNumId w:val="11"/>
  </w:num>
  <w:num w:numId="21">
    <w:abstractNumId w:val="25"/>
  </w:num>
  <w:num w:numId="22">
    <w:abstractNumId w:val="23"/>
  </w:num>
  <w:num w:numId="23">
    <w:abstractNumId w:val="10"/>
  </w:num>
  <w:num w:numId="24">
    <w:abstractNumId w:val="20"/>
  </w:num>
  <w:num w:numId="25">
    <w:abstractNumId w:val="26"/>
  </w:num>
  <w:num w:numId="26">
    <w:abstractNumId w:val="8"/>
  </w:num>
  <w:num w:numId="27">
    <w:abstractNumId w:val="32"/>
  </w:num>
  <w:num w:numId="28">
    <w:abstractNumId w:val="29"/>
  </w:num>
  <w:num w:numId="29">
    <w:abstractNumId w:val="22"/>
  </w:num>
  <w:num w:numId="30">
    <w:abstractNumId w:val="19"/>
  </w:num>
  <w:num w:numId="31">
    <w:abstractNumId w:val="31"/>
  </w:num>
  <w:num w:numId="32">
    <w:abstractNumId w:val="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089"/>
    <w:rsid w:val="00004165"/>
    <w:rsid w:val="000052FB"/>
    <w:rsid w:val="00005808"/>
    <w:rsid w:val="000060C8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99B"/>
    <w:rsid w:val="00033BF5"/>
    <w:rsid w:val="00034812"/>
    <w:rsid w:val="00034A75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64F1"/>
    <w:rsid w:val="00067BCE"/>
    <w:rsid w:val="00070CA1"/>
    <w:rsid w:val="000722CF"/>
    <w:rsid w:val="00072B00"/>
    <w:rsid w:val="000737E0"/>
    <w:rsid w:val="0007382E"/>
    <w:rsid w:val="00073E65"/>
    <w:rsid w:val="00075DFD"/>
    <w:rsid w:val="00076442"/>
    <w:rsid w:val="000766E1"/>
    <w:rsid w:val="0007678C"/>
    <w:rsid w:val="00076EF6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7D0"/>
    <w:rsid w:val="000A3AA4"/>
    <w:rsid w:val="000A4121"/>
    <w:rsid w:val="000A4195"/>
    <w:rsid w:val="000A4AA3"/>
    <w:rsid w:val="000A4D33"/>
    <w:rsid w:val="000A4FEA"/>
    <w:rsid w:val="000A550E"/>
    <w:rsid w:val="000A5FA2"/>
    <w:rsid w:val="000A628B"/>
    <w:rsid w:val="000A7E3F"/>
    <w:rsid w:val="000B0641"/>
    <w:rsid w:val="000B0960"/>
    <w:rsid w:val="000B0D96"/>
    <w:rsid w:val="000B143D"/>
    <w:rsid w:val="000B195D"/>
    <w:rsid w:val="000B1A55"/>
    <w:rsid w:val="000B1B35"/>
    <w:rsid w:val="000B20BB"/>
    <w:rsid w:val="000B2454"/>
    <w:rsid w:val="000B2479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3C5F"/>
    <w:rsid w:val="000F4259"/>
    <w:rsid w:val="000F4C53"/>
    <w:rsid w:val="000F55F8"/>
    <w:rsid w:val="000F5BF2"/>
    <w:rsid w:val="000F5C91"/>
    <w:rsid w:val="00100805"/>
    <w:rsid w:val="00100C2E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36FF"/>
    <w:rsid w:val="00114EB5"/>
    <w:rsid w:val="001158E0"/>
    <w:rsid w:val="00116CBA"/>
    <w:rsid w:val="001174B3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B58"/>
    <w:rsid w:val="00121B5D"/>
    <w:rsid w:val="00121FEA"/>
    <w:rsid w:val="00122721"/>
    <w:rsid w:val="00123422"/>
    <w:rsid w:val="001242D4"/>
    <w:rsid w:val="00124B6A"/>
    <w:rsid w:val="0012648F"/>
    <w:rsid w:val="00126A40"/>
    <w:rsid w:val="00126A91"/>
    <w:rsid w:val="00130462"/>
    <w:rsid w:val="00131F48"/>
    <w:rsid w:val="001323CA"/>
    <w:rsid w:val="00133887"/>
    <w:rsid w:val="001348E1"/>
    <w:rsid w:val="00134A3B"/>
    <w:rsid w:val="00135948"/>
    <w:rsid w:val="0013596F"/>
    <w:rsid w:val="00136D4C"/>
    <w:rsid w:val="001374A5"/>
    <w:rsid w:val="00140F01"/>
    <w:rsid w:val="00141825"/>
    <w:rsid w:val="00142538"/>
    <w:rsid w:val="001426D2"/>
    <w:rsid w:val="00142BB9"/>
    <w:rsid w:val="001434B0"/>
    <w:rsid w:val="00144683"/>
    <w:rsid w:val="00144F96"/>
    <w:rsid w:val="00146507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44AF"/>
    <w:rsid w:val="00164C1F"/>
    <w:rsid w:val="00164FF1"/>
    <w:rsid w:val="0016541B"/>
    <w:rsid w:val="00165DEF"/>
    <w:rsid w:val="00165F8D"/>
    <w:rsid w:val="00166D4C"/>
    <w:rsid w:val="00167D49"/>
    <w:rsid w:val="001703A3"/>
    <w:rsid w:val="00170ACD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219A"/>
    <w:rsid w:val="0019304D"/>
    <w:rsid w:val="00193B27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43A7"/>
    <w:rsid w:val="001A59CB"/>
    <w:rsid w:val="001A65AC"/>
    <w:rsid w:val="001B0D41"/>
    <w:rsid w:val="001B1972"/>
    <w:rsid w:val="001B1983"/>
    <w:rsid w:val="001B2877"/>
    <w:rsid w:val="001B3898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1057"/>
    <w:rsid w:val="002114D8"/>
    <w:rsid w:val="00211A0D"/>
    <w:rsid w:val="00211A23"/>
    <w:rsid w:val="00211EB8"/>
    <w:rsid w:val="00212FEF"/>
    <w:rsid w:val="002138EA"/>
    <w:rsid w:val="002139EA"/>
    <w:rsid w:val="00213F84"/>
    <w:rsid w:val="0021405A"/>
    <w:rsid w:val="00214FBD"/>
    <w:rsid w:val="002158C9"/>
    <w:rsid w:val="00216209"/>
    <w:rsid w:val="002163CE"/>
    <w:rsid w:val="00216586"/>
    <w:rsid w:val="00216D62"/>
    <w:rsid w:val="002178F2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5F0F"/>
    <w:rsid w:val="00226EA1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435CA"/>
    <w:rsid w:val="0024469F"/>
    <w:rsid w:val="00245634"/>
    <w:rsid w:val="00245CEE"/>
    <w:rsid w:val="002466C8"/>
    <w:rsid w:val="00246D9E"/>
    <w:rsid w:val="00247489"/>
    <w:rsid w:val="00247D53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25B6"/>
    <w:rsid w:val="002639ED"/>
    <w:rsid w:val="0026581A"/>
    <w:rsid w:val="002659FF"/>
    <w:rsid w:val="002666AE"/>
    <w:rsid w:val="00267646"/>
    <w:rsid w:val="00267B71"/>
    <w:rsid w:val="0027040E"/>
    <w:rsid w:val="00270542"/>
    <w:rsid w:val="0027081E"/>
    <w:rsid w:val="002709B6"/>
    <w:rsid w:val="00271652"/>
    <w:rsid w:val="0027166C"/>
    <w:rsid w:val="00271E32"/>
    <w:rsid w:val="002731B1"/>
    <w:rsid w:val="002749FC"/>
    <w:rsid w:val="00274B6B"/>
    <w:rsid w:val="00274E1A"/>
    <w:rsid w:val="00274E25"/>
    <w:rsid w:val="002760C0"/>
    <w:rsid w:val="002775B1"/>
    <w:rsid w:val="002775B9"/>
    <w:rsid w:val="002779BC"/>
    <w:rsid w:val="00280DE3"/>
    <w:rsid w:val="002811C4"/>
    <w:rsid w:val="0028146D"/>
    <w:rsid w:val="00281F31"/>
    <w:rsid w:val="002821BB"/>
    <w:rsid w:val="00282213"/>
    <w:rsid w:val="00282E1C"/>
    <w:rsid w:val="00284016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40FC"/>
    <w:rsid w:val="00294491"/>
    <w:rsid w:val="00294BDE"/>
    <w:rsid w:val="002A0316"/>
    <w:rsid w:val="002A0CED"/>
    <w:rsid w:val="002A1880"/>
    <w:rsid w:val="002A282D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906"/>
    <w:rsid w:val="002B3406"/>
    <w:rsid w:val="002B377F"/>
    <w:rsid w:val="002B3ED1"/>
    <w:rsid w:val="002B4980"/>
    <w:rsid w:val="002B516C"/>
    <w:rsid w:val="002B5E1D"/>
    <w:rsid w:val="002B60C1"/>
    <w:rsid w:val="002B69F4"/>
    <w:rsid w:val="002B6BFA"/>
    <w:rsid w:val="002B707F"/>
    <w:rsid w:val="002B7D82"/>
    <w:rsid w:val="002B7FBD"/>
    <w:rsid w:val="002C14B3"/>
    <w:rsid w:val="002C34E8"/>
    <w:rsid w:val="002C4B19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6151"/>
    <w:rsid w:val="002D6495"/>
    <w:rsid w:val="002D6BDF"/>
    <w:rsid w:val="002D7480"/>
    <w:rsid w:val="002E238B"/>
    <w:rsid w:val="002E2CE9"/>
    <w:rsid w:val="002E3BF7"/>
    <w:rsid w:val="002E403E"/>
    <w:rsid w:val="002E44BD"/>
    <w:rsid w:val="002E4C74"/>
    <w:rsid w:val="002F03C5"/>
    <w:rsid w:val="002F11BE"/>
    <w:rsid w:val="002F158C"/>
    <w:rsid w:val="002F18F9"/>
    <w:rsid w:val="002F1A13"/>
    <w:rsid w:val="002F214D"/>
    <w:rsid w:val="002F2516"/>
    <w:rsid w:val="002F27F1"/>
    <w:rsid w:val="002F2E0A"/>
    <w:rsid w:val="002F3119"/>
    <w:rsid w:val="002F37D8"/>
    <w:rsid w:val="002F3D89"/>
    <w:rsid w:val="002F4093"/>
    <w:rsid w:val="002F5636"/>
    <w:rsid w:val="002F5C42"/>
    <w:rsid w:val="002F61A6"/>
    <w:rsid w:val="002F6A4F"/>
    <w:rsid w:val="002F71E6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3F1B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6E88"/>
    <w:rsid w:val="00357453"/>
    <w:rsid w:val="00357E7C"/>
    <w:rsid w:val="003602E6"/>
    <w:rsid w:val="00360775"/>
    <w:rsid w:val="00362578"/>
    <w:rsid w:val="003628B9"/>
    <w:rsid w:val="00362D8F"/>
    <w:rsid w:val="00363323"/>
    <w:rsid w:val="00363476"/>
    <w:rsid w:val="003648EE"/>
    <w:rsid w:val="00364D02"/>
    <w:rsid w:val="00364E04"/>
    <w:rsid w:val="003659A7"/>
    <w:rsid w:val="00365EBA"/>
    <w:rsid w:val="003661D1"/>
    <w:rsid w:val="00367492"/>
    <w:rsid w:val="00367724"/>
    <w:rsid w:val="003710BA"/>
    <w:rsid w:val="00372015"/>
    <w:rsid w:val="003723F6"/>
    <w:rsid w:val="00375614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167B"/>
    <w:rsid w:val="00393042"/>
    <w:rsid w:val="003939B1"/>
    <w:rsid w:val="00393E5D"/>
    <w:rsid w:val="003944A7"/>
    <w:rsid w:val="0039484B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4A5"/>
    <w:rsid w:val="003D4C47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40EE"/>
    <w:rsid w:val="003E5153"/>
    <w:rsid w:val="003E5F7E"/>
    <w:rsid w:val="003F0D21"/>
    <w:rsid w:val="003F1C1B"/>
    <w:rsid w:val="003F3707"/>
    <w:rsid w:val="003F3A2F"/>
    <w:rsid w:val="003F4DE3"/>
    <w:rsid w:val="003F676F"/>
    <w:rsid w:val="003F6E16"/>
    <w:rsid w:val="003F758F"/>
    <w:rsid w:val="003F7CAA"/>
    <w:rsid w:val="0040018A"/>
    <w:rsid w:val="00400C13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699"/>
    <w:rsid w:val="00430497"/>
    <w:rsid w:val="00430EA5"/>
    <w:rsid w:val="0043389F"/>
    <w:rsid w:val="00433E87"/>
    <w:rsid w:val="00434DC1"/>
    <w:rsid w:val="004350F4"/>
    <w:rsid w:val="00435A6D"/>
    <w:rsid w:val="004412A0"/>
    <w:rsid w:val="00442337"/>
    <w:rsid w:val="004430ED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5785E"/>
    <w:rsid w:val="00460286"/>
    <w:rsid w:val="00460A42"/>
    <w:rsid w:val="004615F6"/>
    <w:rsid w:val="00461E39"/>
    <w:rsid w:val="00462D3A"/>
    <w:rsid w:val="00463088"/>
    <w:rsid w:val="00463521"/>
    <w:rsid w:val="0046502B"/>
    <w:rsid w:val="004661C8"/>
    <w:rsid w:val="0046712E"/>
    <w:rsid w:val="00467653"/>
    <w:rsid w:val="00470D33"/>
    <w:rsid w:val="00471125"/>
    <w:rsid w:val="004712A6"/>
    <w:rsid w:val="00472595"/>
    <w:rsid w:val="00474019"/>
    <w:rsid w:val="004741C5"/>
    <w:rsid w:val="0047437A"/>
    <w:rsid w:val="00474554"/>
    <w:rsid w:val="00475929"/>
    <w:rsid w:val="00477DF8"/>
    <w:rsid w:val="0048077F"/>
    <w:rsid w:val="00480E42"/>
    <w:rsid w:val="00481548"/>
    <w:rsid w:val="00481C14"/>
    <w:rsid w:val="004820D1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249A"/>
    <w:rsid w:val="004924F0"/>
    <w:rsid w:val="00492896"/>
    <w:rsid w:val="00493C6C"/>
    <w:rsid w:val="00494862"/>
    <w:rsid w:val="00496650"/>
    <w:rsid w:val="00496964"/>
    <w:rsid w:val="004A0708"/>
    <w:rsid w:val="004A091C"/>
    <w:rsid w:val="004A17E9"/>
    <w:rsid w:val="004A1DB5"/>
    <w:rsid w:val="004A329D"/>
    <w:rsid w:val="004A4251"/>
    <w:rsid w:val="004A4711"/>
    <w:rsid w:val="004A48CF"/>
    <w:rsid w:val="004A495F"/>
    <w:rsid w:val="004A5951"/>
    <w:rsid w:val="004A623F"/>
    <w:rsid w:val="004A7544"/>
    <w:rsid w:val="004A7C58"/>
    <w:rsid w:val="004B0F40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DC8"/>
    <w:rsid w:val="004D037E"/>
    <w:rsid w:val="004D04F6"/>
    <w:rsid w:val="004D0C0F"/>
    <w:rsid w:val="004D21B0"/>
    <w:rsid w:val="004D4939"/>
    <w:rsid w:val="004D6B85"/>
    <w:rsid w:val="004D6DFF"/>
    <w:rsid w:val="004D737D"/>
    <w:rsid w:val="004D7DFB"/>
    <w:rsid w:val="004E0135"/>
    <w:rsid w:val="004E041C"/>
    <w:rsid w:val="004E0D9F"/>
    <w:rsid w:val="004E1AEF"/>
    <w:rsid w:val="004E1F4E"/>
    <w:rsid w:val="004E2659"/>
    <w:rsid w:val="004E39EE"/>
    <w:rsid w:val="004E475B"/>
    <w:rsid w:val="004E475C"/>
    <w:rsid w:val="004E4A72"/>
    <w:rsid w:val="004E56E0"/>
    <w:rsid w:val="004E5B08"/>
    <w:rsid w:val="004E5CE0"/>
    <w:rsid w:val="004E67F7"/>
    <w:rsid w:val="004E6DD4"/>
    <w:rsid w:val="004E7329"/>
    <w:rsid w:val="004E7A2A"/>
    <w:rsid w:val="004F0835"/>
    <w:rsid w:val="004F24DA"/>
    <w:rsid w:val="004F2CB0"/>
    <w:rsid w:val="004F3E14"/>
    <w:rsid w:val="004F452E"/>
    <w:rsid w:val="004F585A"/>
    <w:rsid w:val="004F7541"/>
    <w:rsid w:val="00500FF7"/>
    <w:rsid w:val="005017F7"/>
    <w:rsid w:val="00501FA7"/>
    <w:rsid w:val="005034DC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0E5A"/>
    <w:rsid w:val="00553CFE"/>
    <w:rsid w:val="00554496"/>
    <w:rsid w:val="005551BE"/>
    <w:rsid w:val="00555635"/>
    <w:rsid w:val="0055586C"/>
    <w:rsid w:val="00556401"/>
    <w:rsid w:val="005574D1"/>
    <w:rsid w:val="00557FE2"/>
    <w:rsid w:val="005606F1"/>
    <w:rsid w:val="005612DC"/>
    <w:rsid w:val="00564C0D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609E"/>
    <w:rsid w:val="005874AD"/>
    <w:rsid w:val="00587922"/>
    <w:rsid w:val="0059116C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6757"/>
    <w:rsid w:val="005A7FE1"/>
    <w:rsid w:val="005B0627"/>
    <w:rsid w:val="005B23AE"/>
    <w:rsid w:val="005B318B"/>
    <w:rsid w:val="005B3862"/>
    <w:rsid w:val="005B4802"/>
    <w:rsid w:val="005B514E"/>
    <w:rsid w:val="005B65E6"/>
    <w:rsid w:val="005B664A"/>
    <w:rsid w:val="005B66DB"/>
    <w:rsid w:val="005B71EE"/>
    <w:rsid w:val="005B72E1"/>
    <w:rsid w:val="005B755A"/>
    <w:rsid w:val="005C1009"/>
    <w:rsid w:val="005C14EE"/>
    <w:rsid w:val="005C1EA6"/>
    <w:rsid w:val="005C2352"/>
    <w:rsid w:val="005C3EE5"/>
    <w:rsid w:val="005C4DAB"/>
    <w:rsid w:val="005C55BB"/>
    <w:rsid w:val="005C5C96"/>
    <w:rsid w:val="005C5E1F"/>
    <w:rsid w:val="005C6257"/>
    <w:rsid w:val="005C7ABB"/>
    <w:rsid w:val="005D0B99"/>
    <w:rsid w:val="005D0F8F"/>
    <w:rsid w:val="005D146E"/>
    <w:rsid w:val="005D1C15"/>
    <w:rsid w:val="005D1EC5"/>
    <w:rsid w:val="005D308E"/>
    <w:rsid w:val="005D3A48"/>
    <w:rsid w:val="005D5FB7"/>
    <w:rsid w:val="005D620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60E2"/>
    <w:rsid w:val="005F6D25"/>
    <w:rsid w:val="0060023E"/>
    <w:rsid w:val="006016E1"/>
    <w:rsid w:val="00602438"/>
    <w:rsid w:val="00602D27"/>
    <w:rsid w:val="0060356B"/>
    <w:rsid w:val="00603FC7"/>
    <w:rsid w:val="00606CFD"/>
    <w:rsid w:val="00610900"/>
    <w:rsid w:val="00613535"/>
    <w:rsid w:val="00613661"/>
    <w:rsid w:val="006144A1"/>
    <w:rsid w:val="006148D8"/>
    <w:rsid w:val="00614E9B"/>
    <w:rsid w:val="00615EBB"/>
    <w:rsid w:val="00616096"/>
    <w:rsid w:val="006160A2"/>
    <w:rsid w:val="006174D7"/>
    <w:rsid w:val="0061753D"/>
    <w:rsid w:val="0062178A"/>
    <w:rsid w:val="00622450"/>
    <w:rsid w:val="0062477D"/>
    <w:rsid w:val="006247CD"/>
    <w:rsid w:val="006253C9"/>
    <w:rsid w:val="00626F3E"/>
    <w:rsid w:val="006302AA"/>
    <w:rsid w:val="00630FE7"/>
    <w:rsid w:val="0063115F"/>
    <w:rsid w:val="0063123D"/>
    <w:rsid w:val="00631663"/>
    <w:rsid w:val="0063188D"/>
    <w:rsid w:val="00632E08"/>
    <w:rsid w:val="00633703"/>
    <w:rsid w:val="006337E2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307"/>
    <w:rsid w:val="00673557"/>
    <w:rsid w:val="006748D0"/>
    <w:rsid w:val="00674C47"/>
    <w:rsid w:val="006756A0"/>
    <w:rsid w:val="006759C6"/>
    <w:rsid w:val="006808C6"/>
    <w:rsid w:val="00680C01"/>
    <w:rsid w:val="00681960"/>
    <w:rsid w:val="00681F1E"/>
    <w:rsid w:val="00682668"/>
    <w:rsid w:val="006834D8"/>
    <w:rsid w:val="006836FA"/>
    <w:rsid w:val="00684CC2"/>
    <w:rsid w:val="00684FD7"/>
    <w:rsid w:val="00685864"/>
    <w:rsid w:val="00686138"/>
    <w:rsid w:val="00687961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220"/>
    <w:rsid w:val="006A04F3"/>
    <w:rsid w:val="006A2D44"/>
    <w:rsid w:val="006A2EAB"/>
    <w:rsid w:val="006A2F79"/>
    <w:rsid w:val="006A30A2"/>
    <w:rsid w:val="006A39E7"/>
    <w:rsid w:val="006A43F8"/>
    <w:rsid w:val="006A5329"/>
    <w:rsid w:val="006A5C93"/>
    <w:rsid w:val="006A6040"/>
    <w:rsid w:val="006A6D23"/>
    <w:rsid w:val="006A6E85"/>
    <w:rsid w:val="006B207B"/>
    <w:rsid w:val="006B25DE"/>
    <w:rsid w:val="006B2C5D"/>
    <w:rsid w:val="006B45A1"/>
    <w:rsid w:val="006B4A48"/>
    <w:rsid w:val="006B642C"/>
    <w:rsid w:val="006B66CC"/>
    <w:rsid w:val="006B7508"/>
    <w:rsid w:val="006C0736"/>
    <w:rsid w:val="006C1C3B"/>
    <w:rsid w:val="006C219A"/>
    <w:rsid w:val="006C3A66"/>
    <w:rsid w:val="006C3D7D"/>
    <w:rsid w:val="006C4664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EFA"/>
    <w:rsid w:val="006F6F08"/>
    <w:rsid w:val="006F7C0C"/>
    <w:rsid w:val="007006F0"/>
    <w:rsid w:val="00700755"/>
    <w:rsid w:val="00701CF8"/>
    <w:rsid w:val="00703F25"/>
    <w:rsid w:val="00704570"/>
    <w:rsid w:val="00704AE9"/>
    <w:rsid w:val="0070646B"/>
    <w:rsid w:val="007064C9"/>
    <w:rsid w:val="007066D2"/>
    <w:rsid w:val="00707532"/>
    <w:rsid w:val="00712229"/>
    <w:rsid w:val="007123E9"/>
    <w:rsid w:val="0071306F"/>
    <w:rsid w:val="007130A2"/>
    <w:rsid w:val="00713134"/>
    <w:rsid w:val="00713AA4"/>
    <w:rsid w:val="0071427C"/>
    <w:rsid w:val="007142AC"/>
    <w:rsid w:val="00715175"/>
    <w:rsid w:val="00715463"/>
    <w:rsid w:val="007179C7"/>
    <w:rsid w:val="00717B42"/>
    <w:rsid w:val="00717D47"/>
    <w:rsid w:val="00720718"/>
    <w:rsid w:val="007218DA"/>
    <w:rsid w:val="00722011"/>
    <w:rsid w:val="00723985"/>
    <w:rsid w:val="00723D64"/>
    <w:rsid w:val="007242ED"/>
    <w:rsid w:val="00725B38"/>
    <w:rsid w:val="0072614B"/>
    <w:rsid w:val="0072777D"/>
    <w:rsid w:val="00727B63"/>
    <w:rsid w:val="00727CC1"/>
    <w:rsid w:val="007303F2"/>
    <w:rsid w:val="00730655"/>
    <w:rsid w:val="00730D4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B37"/>
    <w:rsid w:val="0074014F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F23"/>
    <w:rsid w:val="00747F86"/>
    <w:rsid w:val="0075191C"/>
    <w:rsid w:val="00751C11"/>
    <w:rsid w:val="007520B4"/>
    <w:rsid w:val="0075490C"/>
    <w:rsid w:val="00755089"/>
    <w:rsid w:val="007551ED"/>
    <w:rsid w:val="007558EA"/>
    <w:rsid w:val="00755E6A"/>
    <w:rsid w:val="00756E3F"/>
    <w:rsid w:val="007572F1"/>
    <w:rsid w:val="0075756C"/>
    <w:rsid w:val="00761A86"/>
    <w:rsid w:val="00763C44"/>
    <w:rsid w:val="00763F09"/>
    <w:rsid w:val="00765558"/>
    <w:rsid w:val="007655D5"/>
    <w:rsid w:val="00770A1C"/>
    <w:rsid w:val="00771513"/>
    <w:rsid w:val="00771F6B"/>
    <w:rsid w:val="007737F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37A9"/>
    <w:rsid w:val="007849B7"/>
    <w:rsid w:val="00786921"/>
    <w:rsid w:val="00786DEF"/>
    <w:rsid w:val="007873E3"/>
    <w:rsid w:val="007910BA"/>
    <w:rsid w:val="007912DE"/>
    <w:rsid w:val="007915B7"/>
    <w:rsid w:val="00792992"/>
    <w:rsid w:val="00793996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67F"/>
    <w:rsid w:val="007A79FD"/>
    <w:rsid w:val="007B0103"/>
    <w:rsid w:val="007B0122"/>
    <w:rsid w:val="007B0B9D"/>
    <w:rsid w:val="007B1487"/>
    <w:rsid w:val="007B1F28"/>
    <w:rsid w:val="007B26E3"/>
    <w:rsid w:val="007B2A0F"/>
    <w:rsid w:val="007B4F7E"/>
    <w:rsid w:val="007B4FEE"/>
    <w:rsid w:val="007B5A43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0AE3"/>
    <w:rsid w:val="007E0AEB"/>
    <w:rsid w:val="007E1356"/>
    <w:rsid w:val="007E20FC"/>
    <w:rsid w:val="007E2542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9A7"/>
    <w:rsid w:val="007F4A1D"/>
    <w:rsid w:val="007F4AF8"/>
    <w:rsid w:val="007F5592"/>
    <w:rsid w:val="007F749E"/>
    <w:rsid w:val="007F78A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D19"/>
    <w:rsid w:val="00806DC0"/>
    <w:rsid w:val="00807C57"/>
    <w:rsid w:val="00811C73"/>
    <w:rsid w:val="00811E6A"/>
    <w:rsid w:val="008152BC"/>
    <w:rsid w:val="00816078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ED6"/>
    <w:rsid w:val="008B5F56"/>
    <w:rsid w:val="008C087D"/>
    <w:rsid w:val="008C08A8"/>
    <w:rsid w:val="008C0BA2"/>
    <w:rsid w:val="008C1E51"/>
    <w:rsid w:val="008C2B1E"/>
    <w:rsid w:val="008C2D17"/>
    <w:rsid w:val="008C358C"/>
    <w:rsid w:val="008C52E5"/>
    <w:rsid w:val="008C56CC"/>
    <w:rsid w:val="008C6034"/>
    <w:rsid w:val="008C60E9"/>
    <w:rsid w:val="008C6595"/>
    <w:rsid w:val="008C679A"/>
    <w:rsid w:val="008C74DD"/>
    <w:rsid w:val="008C7F95"/>
    <w:rsid w:val="008D0EFC"/>
    <w:rsid w:val="008D1AEE"/>
    <w:rsid w:val="008D1B7C"/>
    <w:rsid w:val="008D1CFA"/>
    <w:rsid w:val="008D1D5E"/>
    <w:rsid w:val="008D2631"/>
    <w:rsid w:val="008D3E5F"/>
    <w:rsid w:val="008D46A9"/>
    <w:rsid w:val="008D5782"/>
    <w:rsid w:val="008D5D5E"/>
    <w:rsid w:val="008D629A"/>
    <w:rsid w:val="008D6657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8F6795"/>
    <w:rsid w:val="008F7AD4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316"/>
    <w:rsid w:val="00927359"/>
    <w:rsid w:val="00927520"/>
    <w:rsid w:val="0093013B"/>
    <w:rsid w:val="0093133D"/>
    <w:rsid w:val="00931A21"/>
    <w:rsid w:val="00931E54"/>
    <w:rsid w:val="0093276D"/>
    <w:rsid w:val="009337B8"/>
    <w:rsid w:val="00933D12"/>
    <w:rsid w:val="00935E06"/>
    <w:rsid w:val="00936F83"/>
    <w:rsid w:val="00937065"/>
    <w:rsid w:val="009371DF"/>
    <w:rsid w:val="00940285"/>
    <w:rsid w:val="00940E43"/>
    <w:rsid w:val="009415B0"/>
    <w:rsid w:val="00941AF1"/>
    <w:rsid w:val="00942052"/>
    <w:rsid w:val="009422AB"/>
    <w:rsid w:val="009428AB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9F2"/>
    <w:rsid w:val="00955F62"/>
    <w:rsid w:val="00956303"/>
    <w:rsid w:val="009574A7"/>
    <w:rsid w:val="009579DA"/>
    <w:rsid w:val="00957E6B"/>
    <w:rsid w:val="00961BB2"/>
    <w:rsid w:val="00962108"/>
    <w:rsid w:val="0096227E"/>
    <w:rsid w:val="009638D6"/>
    <w:rsid w:val="00963C0F"/>
    <w:rsid w:val="009648FB"/>
    <w:rsid w:val="00966563"/>
    <w:rsid w:val="00966EA9"/>
    <w:rsid w:val="00967069"/>
    <w:rsid w:val="0096717F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6E5"/>
    <w:rsid w:val="00976363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D20"/>
    <w:rsid w:val="009B4069"/>
    <w:rsid w:val="009B40AB"/>
    <w:rsid w:val="009B43E9"/>
    <w:rsid w:val="009B4A67"/>
    <w:rsid w:val="009B53ED"/>
    <w:rsid w:val="009B5418"/>
    <w:rsid w:val="009B60F3"/>
    <w:rsid w:val="009B6802"/>
    <w:rsid w:val="009B7FFD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69A9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4D2A"/>
    <w:rsid w:val="00A0028F"/>
    <w:rsid w:val="00A02547"/>
    <w:rsid w:val="00A027A7"/>
    <w:rsid w:val="00A02950"/>
    <w:rsid w:val="00A0299E"/>
    <w:rsid w:val="00A04371"/>
    <w:rsid w:val="00A04B86"/>
    <w:rsid w:val="00A05302"/>
    <w:rsid w:val="00A05DBC"/>
    <w:rsid w:val="00A05E0B"/>
    <w:rsid w:val="00A0758F"/>
    <w:rsid w:val="00A10B92"/>
    <w:rsid w:val="00A10D11"/>
    <w:rsid w:val="00A11C9F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23CF"/>
    <w:rsid w:val="00A2353F"/>
    <w:rsid w:val="00A24141"/>
    <w:rsid w:val="00A245A0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739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45C3"/>
    <w:rsid w:val="00A6605B"/>
    <w:rsid w:val="00A66ADC"/>
    <w:rsid w:val="00A67714"/>
    <w:rsid w:val="00A67788"/>
    <w:rsid w:val="00A67F45"/>
    <w:rsid w:val="00A7029C"/>
    <w:rsid w:val="00A70C4A"/>
    <w:rsid w:val="00A70F5B"/>
    <w:rsid w:val="00A7147D"/>
    <w:rsid w:val="00A7279D"/>
    <w:rsid w:val="00A72EF2"/>
    <w:rsid w:val="00A74303"/>
    <w:rsid w:val="00A74E5C"/>
    <w:rsid w:val="00A7561F"/>
    <w:rsid w:val="00A7581F"/>
    <w:rsid w:val="00A77123"/>
    <w:rsid w:val="00A775BC"/>
    <w:rsid w:val="00A77A30"/>
    <w:rsid w:val="00A80FBF"/>
    <w:rsid w:val="00A810E3"/>
    <w:rsid w:val="00A8158A"/>
    <w:rsid w:val="00A81B15"/>
    <w:rsid w:val="00A8247D"/>
    <w:rsid w:val="00A82A61"/>
    <w:rsid w:val="00A832EB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C57"/>
    <w:rsid w:val="00AB1195"/>
    <w:rsid w:val="00AB1669"/>
    <w:rsid w:val="00AB226C"/>
    <w:rsid w:val="00AB237E"/>
    <w:rsid w:val="00AB2520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7A41"/>
    <w:rsid w:val="00AB7E47"/>
    <w:rsid w:val="00AC03FE"/>
    <w:rsid w:val="00AC07A9"/>
    <w:rsid w:val="00AC27DB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08B6"/>
    <w:rsid w:val="00AD0BBD"/>
    <w:rsid w:val="00AD2243"/>
    <w:rsid w:val="00AD24AB"/>
    <w:rsid w:val="00AD2647"/>
    <w:rsid w:val="00AD3DF6"/>
    <w:rsid w:val="00AD4E6D"/>
    <w:rsid w:val="00AD5B9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AC4"/>
    <w:rsid w:val="00AF3F8D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67CA"/>
    <w:rsid w:val="00B079B4"/>
    <w:rsid w:val="00B11851"/>
    <w:rsid w:val="00B12B26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27C66"/>
    <w:rsid w:val="00B307AF"/>
    <w:rsid w:val="00B310CF"/>
    <w:rsid w:val="00B3416C"/>
    <w:rsid w:val="00B3443E"/>
    <w:rsid w:val="00B348FE"/>
    <w:rsid w:val="00B34D0D"/>
    <w:rsid w:val="00B35E91"/>
    <w:rsid w:val="00B36CD2"/>
    <w:rsid w:val="00B37995"/>
    <w:rsid w:val="00B4108D"/>
    <w:rsid w:val="00B42B20"/>
    <w:rsid w:val="00B442AC"/>
    <w:rsid w:val="00B444AC"/>
    <w:rsid w:val="00B45AB1"/>
    <w:rsid w:val="00B47EAD"/>
    <w:rsid w:val="00B53F03"/>
    <w:rsid w:val="00B54961"/>
    <w:rsid w:val="00B559DF"/>
    <w:rsid w:val="00B56643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C5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E"/>
    <w:rsid w:val="00B86B02"/>
    <w:rsid w:val="00B87725"/>
    <w:rsid w:val="00B90774"/>
    <w:rsid w:val="00B91D52"/>
    <w:rsid w:val="00B91FE1"/>
    <w:rsid w:val="00B922FF"/>
    <w:rsid w:val="00B9516C"/>
    <w:rsid w:val="00B963CA"/>
    <w:rsid w:val="00B964B5"/>
    <w:rsid w:val="00B97C0D"/>
    <w:rsid w:val="00BA0620"/>
    <w:rsid w:val="00BA1183"/>
    <w:rsid w:val="00BA18F4"/>
    <w:rsid w:val="00BA259A"/>
    <w:rsid w:val="00BA259C"/>
    <w:rsid w:val="00BA29D3"/>
    <w:rsid w:val="00BA307F"/>
    <w:rsid w:val="00BA5280"/>
    <w:rsid w:val="00BA53CF"/>
    <w:rsid w:val="00BA5F33"/>
    <w:rsid w:val="00BB14F1"/>
    <w:rsid w:val="00BB39EE"/>
    <w:rsid w:val="00BB46A2"/>
    <w:rsid w:val="00BB572E"/>
    <w:rsid w:val="00BB59EB"/>
    <w:rsid w:val="00BB5DE0"/>
    <w:rsid w:val="00BB5F51"/>
    <w:rsid w:val="00BB73B5"/>
    <w:rsid w:val="00BB74FD"/>
    <w:rsid w:val="00BB7CA2"/>
    <w:rsid w:val="00BB7D48"/>
    <w:rsid w:val="00BC0D34"/>
    <w:rsid w:val="00BC1F1E"/>
    <w:rsid w:val="00BC44FA"/>
    <w:rsid w:val="00BC48B2"/>
    <w:rsid w:val="00BC4B19"/>
    <w:rsid w:val="00BC52A6"/>
    <w:rsid w:val="00BC598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32DD"/>
    <w:rsid w:val="00BD3758"/>
    <w:rsid w:val="00BD47D2"/>
    <w:rsid w:val="00BD4B76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4A40"/>
    <w:rsid w:val="00BF5406"/>
    <w:rsid w:val="00BF7103"/>
    <w:rsid w:val="00BF73D9"/>
    <w:rsid w:val="00BF7C9A"/>
    <w:rsid w:val="00C00431"/>
    <w:rsid w:val="00C01D50"/>
    <w:rsid w:val="00C02968"/>
    <w:rsid w:val="00C0352B"/>
    <w:rsid w:val="00C04F02"/>
    <w:rsid w:val="00C054D5"/>
    <w:rsid w:val="00C056DC"/>
    <w:rsid w:val="00C05D83"/>
    <w:rsid w:val="00C05EF3"/>
    <w:rsid w:val="00C064E4"/>
    <w:rsid w:val="00C12549"/>
    <w:rsid w:val="00C1329B"/>
    <w:rsid w:val="00C13DAF"/>
    <w:rsid w:val="00C13F2F"/>
    <w:rsid w:val="00C14C6E"/>
    <w:rsid w:val="00C1561D"/>
    <w:rsid w:val="00C1572F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1283"/>
    <w:rsid w:val="00C31D1A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80C"/>
    <w:rsid w:val="00C370E5"/>
    <w:rsid w:val="00C404C3"/>
    <w:rsid w:val="00C407F7"/>
    <w:rsid w:val="00C42114"/>
    <w:rsid w:val="00C4318A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59A8"/>
    <w:rsid w:val="00C55ACF"/>
    <w:rsid w:val="00C55FC5"/>
    <w:rsid w:val="00C5739F"/>
    <w:rsid w:val="00C57CF0"/>
    <w:rsid w:val="00C603BA"/>
    <w:rsid w:val="00C6085D"/>
    <w:rsid w:val="00C61B10"/>
    <w:rsid w:val="00C621C9"/>
    <w:rsid w:val="00C62A02"/>
    <w:rsid w:val="00C63557"/>
    <w:rsid w:val="00C6363B"/>
    <w:rsid w:val="00C649BD"/>
    <w:rsid w:val="00C653E6"/>
    <w:rsid w:val="00C65891"/>
    <w:rsid w:val="00C666D3"/>
    <w:rsid w:val="00C66A41"/>
    <w:rsid w:val="00C66AC9"/>
    <w:rsid w:val="00C66FF6"/>
    <w:rsid w:val="00C703FA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69E"/>
    <w:rsid w:val="00CA2729"/>
    <w:rsid w:val="00CA3057"/>
    <w:rsid w:val="00CA35AD"/>
    <w:rsid w:val="00CA45F8"/>
    <w:rsid w:val="00CA6628"/>
    <w:rsid w:val="00CA688B"/>
    <w:rsid w:val="00CB0305"/>
    <w:rsid w:val="00CB12E7"/>
    <w:rsid w:val="00CB2FBC"/>
    <w:rsid w:val="00CB33C7"/>
    <w:rsid w:val="00CB4A3F"/>
    <w:rsid w:val="00CB4FA1"/>
    <w:rsid w:val="00CB4FE9"/>
    <w:rsid w:val="00CB5348"/>
    <w:rsid w:val="00CB5BA6"/>
    <w:rsid w:val="00CB5E58"/>
    <w:rsid w:val="00CB676C"/>
    <w:rsid w:val="00CB6DA7"/>
    <w:rsid w:val="00CB7E4C"/>
    <w:rsid w:val="00CC1C95"/>
    <w:rsid w:val="00CC25B4"/>
    <w:rsid w:val="00CC2A89"/>
    <w:rsid w:val="00CC4144"/>
    <w:rsid w:val="00CC5831"/>
    <w:rsid w:val="00CC5F88"/>
    <w:rsid w:val="00CC69C8"/>
    <w:rsid w:val="00CC7640"/>
    <w:rsid w:val="00CC77A2"/>
    <w:rsid w:val="00CD307E"/>
    <w:rsid w:val="00CD4A9B"/>
    <w:rsid w:val="00CD595B"/>
    <w:rsid w:val="00CD629F"/>
    <w:rsid w:val="00CD6A1B"/>
    <w:rsid w:val="00CD6C8F"/>
    <w:rsid w:val="00CD7292"/>
    <w:rsid w:val="00CE0A7F"/>
    <w:rsid w:val="00CE1718"/>
    <w:rsid w:val="00CE32CE"/>
    <w:rsid w:val="00CE4380"/>
    <w:rsid w:val="00CE5A4C"/>
    <w:rsid w:val="00CE61C0"/>
    <w:rsid w:val="00CE6873"/>
    <w:rsid w:val="00CE7671"/>
    <w:rsid w:val="00CF390E"/>
    <w:rsid w:val="00CF4133"/>
    <w:rsid w:val="00CF4156"/>
    <w:rsid w:val="00CF4651"/>
    <w:rsid w:val="00CF57A9"/>
    <w:rsid w:val="00CF6239"/>
    <w:rsid w:val="00CF6EEC"/>
    <w:rsid w:val="00D0036C"/>
    <w:rsid w:val="00D03176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571"/>
    <w:rsid w:val="00D14B15"/>
    <w:rsid w:val="00D159FF"/>
    <w:rsid w:val="00D16E5B"/>
    <w:rsid w:val="00D209FF"/>
    <w:rsid w:val="00D22C9E"/>
    <w:rsid w:val="00D24400"/>
    <w:rsid w:val="00D27FB3"/>
    <w:rsid w:val="00D300CD"/>
    <w:rsid w:val="00D30891"/>
    <w:rsid w:val="00D30A31"/>
    <w:rsid w:val="00D316EF"/>
    <w:rsid w:val="00D3188C"/>
    <w:rsid w:val="00D318A4"/>
    <w:rsid w:val="00D32FE0"/>
    <w:rsid w:val="00D33A9E"/>
    <w:rsid w:val="00D351B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476F"/>
    <w:rsid w:val="00D45D72"/>
    <w:rsid w:val="00D50B35"/>
    <w:rsid w:val="00D51F22"/>
    <w:rsid w:val="00D520E4"/>
    <w:rsid w:val="00D52E66"/>
    <w:rsid w:val="00D53252"/>
    <w:rsid w:val="00D53A38"/>
    <w:rsid w:val="00D5485F"/>
    <w:rsid w:val="00D54EBC"/>
    <w:rsid w:val="00D55072"/>
    <w:rsid w:val="00D567FB"/>
    <w:rsid w:val="00D5710B"/>
    <w:rsid w:val="00D575DD"/>
    <w:rsid w:val="00D57DFA"/>
    <w:rsid w:val="00D60C88"/>
    <w:rsid w:val="00D62751"/>
    <w:rsid w:val="00D62A93"/>
    <w:rsid w:val="00D643E0"/>
    <w:rsid w:val="00D663E6"/>
    <w:rsid w:val="00D67FCF"/>
    <w:rsid w:val="00D7036C"/>
    <w:rsid w:val="00D709B9"/>
    <w:rsid w:val="00D709CE"/>
    <w:rsid w:val="00D719F4"/>
    <w:rsid w:val="00D71BF8"/>
    <w:rsid w:val="00D71F73"/>
    <w:rsid w:val="00D72835"/>
    <w:rsid w:val="00D74224"/>
    <w:rsid w:val="00D74D60"/>
    <w:rsid w:val="00D74EA8"/>
    <w:rsid w:val="00D75414"/>
    <w:rsid w:val="00D758EC"/>
    <w:rsid w:val="00D76957"/>
    <w:rsid w:val="00D77B23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69F9"/>
    <w:rsid w:val="00D87678"/>
    <w:rsid w:val="00D87867"/>
    <w:rsid w:val="00D90E49"/>
    <w:rsid w:val="00D91FAA"/>
    <w:rsid w:val="00D932B3"/>
    <w:rsid w:val="00D94A4D"/>
    <w:rsid w:val="00D94D67"/>
    <w:rsid w:val="00D96826"/>
    <w:rsid w:val="00D96BE7"/>
    <w:rsid w:val="00D975C2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C59"/>
    <w:rsid w:val="00DA7589"/>
    <w:rsid w:val="00DB0A01"/>
    <w:rsid w:val="00DB0B26"/>
    <w:rsid w:val="00DB1E09"/>
    <w:rsid w:val="00DB2BFE"/>
    <w:rsid w:val="00DB2CC2"/>
    <w:rsid w:val="00DB4907"/>
    <w:rsid w:val="00DB70BC"/>
    <w:rsid w:val="00DB776E"/>
    <w:rsid w:val="00DB7BFB"/>
    <w:rsid w:val="00DC03E4"/>
    <w:rsid w:val="00DC0F80"/>
    <w:rsid w:val="00DC2500"/>
    <w:rsid w:val="00DC361D"/>
    <w:rsid w:val="00DC3937"/>
    <w:rsid w:val="00DC4F72"/>
    <w:rsid w:val="00DC5058"/>
    <w:rsid w:val="00DC77DC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796A"/>
    <w:rsid w:val="00DD7CE6"/>
    <w:rsid w:val="00DD7EBD"/>
    <w:rsid w:val="00DE1B7B"/>
    <w:rsid w:val="00DE1E48"/>
    <w:rsid w:val="00DE31F0"/>
    <w:rsid w:val="00DE3D1C"/>
    <w:rsid w:val="00DE4755"/>
    <w:rsid w:val="00DE4B3F"/>
    <w:rsid w:val="00DE4FCF"/>
    <w:rsid w:val="00DE7367"/>
    <w:rsid w:val="00DE7B4A"/>
    <w:rsid w:val="00DF2D23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1D80"/>
    <w:rsid w:val="00E0227D"/>
    <w:rsid w:val="00E02332"/>
    <w:rsid w:val="00E02382"/>
    <w:rsid w:val="00E024E1"/>
    <w:rsid w:val="00E02CE7"/>
    <w:rsid w:val="00E02F28"/>
    <w:rsid w:val="00E0381F"/>
    <w:rsid w:val="00E04B84"/>
    <w:rsid w:val="00E05786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1768A"/>
    <w:rsid w:val="00E20A43"/>
    <w:rsid w:val="00E21919"/>
    <w:rsid w:val="00E22120"/>
    <w:rsid w:val="00E23128"/>
    <w:rsid w:val="00E231D7"/>
    <w:rsid w:val="00E2355E"/>
    <w:rsid w:val="00E23898"/>
    <w:rsid w:val="00E25B58"/>
    <w:rsid w:val="00E3064D"/>
    <w:rsid w:val="00E319F1"/>
    <w:rsid w:val="00E33CD2"/>
    <w:rsid w:val="00E3583C"/>
    <w:rsid w:val="00E35953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4301"/>
    <w:rsid w:val="00E45C7E"/>
    <w:rsid w:val="00E4755C"/>
    <w:rsid w:val="00E50744"/>
    <w:rsid w:val="00E51CA9"/>
    <w:rsid w:val="00E52B7C"/>
    <w:rsid w:val="00E531EB"/>
    <w:rsid w:val="00E54874"/>
    <w:rsid w:val="00E54B6F"/>
    <w:rsid w:val="00E55ACA"/>
    <w:rsid w:val="00E5629B"/>
    <w:rsid w:val="00E57B74"/>
    <w:rsid w:val="00E610E9"/>
    <w:rsid w:val="00E612D5"/>
    <w:rsid w:val="00E6185B"/>
    <w:rsid w:val="00E6228A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EB"/>
    <w:rsid w:val="00E72728"/>
    <w:rsid w:val="00E72CF1"/>
    <w:rsid w:val="00E72E87"/>
    <w:rsid w:val="00E730F9"/>
    <w:rsid w:val="00E7336D"/>
    <w:rsid w:val="00E75981"/>
    <w:rsid w:val="00E7766C"/>
    <w:rsid w:val="00E80196"/>
    <w:rsid w:val="00E804AD"/>
    <w:rsid w:val="00E807FB"/>
    <w:rsid w:val="00E80B52"/>
    <w:rsid w:val="00E80BA5"/>
    <w:rsid w:val="00E810C0"/>
    <w:rsid w:val="00E824C3"/>
    <w:rsid w:val="00E840B3"/>
    <w:rsid w:val="00E84D10"/>
    <w:rsid w:val="00E8629F"/>
    <w:rsid w:val="00E8643D"/>
    <w:rsid w:val="00E86F1A"/>
    <w:rsid w:val="00E87B01"/>
    <w:rsid w:val="00E87B75"/>
    <w:rsid w:val="00E907EC"/>
    <w:rsid w:val="00E91008"/>
    <w:rsid w:val="00E92934"/>
    <w:rsid w:val="00E92DB6"/>
    <w:rsid w:val="00E933E9"/>
    <w:rsid w:val="00E9374E"/>
    <w:rsid w:val="00E93B0A"/>
    <w:rsid w:val="00E94915"/>
    <w:rsid w:val="00E94F54"/>
    <w:rsid w:val="00E96567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B07F9"/>
    <w:rsid w:val="00EB098A"/>
    <w:rsid w:val="00EB0AAA"/>
    <w:rsid w:val="00EB18E2"/>
    <w:rsid w:val="00EB25E6"/>
    <w:rsid w:val="00EB2797"/>
    <w:rsid w:val="00EB2C14"/>
    <w:rsid w:val="00EB43C3"/>
    <w:rsid w:val="00EB61AE"/>
    <w:rsid w:val="00EB6F23"/>
    <w:rsid w:val="00EB7149"/>
    <w:rsid w:val="00EC0866"/>
    <w:rsid w:val="00EC1B96"/>
    <w:rsid w:val="00EC2769"/>
    <w:rsid w:val="00EC322D"/>
    <w:rsid w:val="00EC3BAA"/>
    <w:rsid w:val="00EC4187"/>
    <w:rsid w:val="00EC4B89"/>
    <w:rsid w:val="00EC4C1B"/>
    <w:rsid w:val="00EC53E7"/>
    <w:rsid w:val="00EC64A6"/>
    <w:rsid w:val="00EC68F3"/>
    <w:rsid w:val="00EC6CB9"/>
    <w:rsid w:val="00ED0887"/>
    <w:rsid w:val="00ED14CC"/>
    <w:rsid w:val="00ED2BC3"/>
    <w:rsid w:val="00ED383A"/>
    <w:rsid w:val="00ED45E9"/>
    <w:rsid w:val="00ED52D3"/>
    <w:rsid w:val="00ED5756"/>
    <w:rsid w:val="00ED69A5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B07"/>
    <w:rsid w:val="00F0318E"/>
    <w:rsid w:val="00F039C5"/>
    <w:rsid w:val="00F0435F"/>
    <w:rsid w:val="00F0461E"/>
    <w:rsid w:val="00F05259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679D"/>
    <w:rsid w:val="00F1682C"/>
    <w:rsid w:val="00F16BBE"/>
    <w:rsid w:val="00F17999"/>
    <w:rsid w:val="00F20B91"/>
    <w:rsid w:val="00F21139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E34"/>
    <w:rsid w:val="00F45176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3053"/>
    <w:rsid w:val="00F53C56"/>
    <w:rsid w:val="00F53FE2"/>
    <w:rsid w:val="00F548C2"/>
    <w:rsid w:val="00F55119"/>
    <w:rsid w:val="00F55D8B"/>
    <w:rsid w:val="00F5700F"/>
    <w:rsid w:val="00F575FF"/>
    <w:rsid w:val="00F618EF"/>
    <w:rsid w:val="00F6202D"/>
    <w:rsid w:val="00F64752"/>
    <w:rsid w:val="00F64EC4"/>
    <w:rsid w:val="00F65360"/>
    <w:rsid w:val="00F65582"/>
    <w:rsid w:val="00F65BF6"/>
    <w:rsid w:val="00F666D4"/>
    <w:rsid w:val="00F66731"/>
    <w:rsid w:val="00F66B7C"/>
    <w:rsid w:val="00F66E75"/>
    <w:rsid w:val="00F67DE1"/>
    <w:rsid w:val="00F70A55"/>
    <w:rsid w:val="00F70B8A"/>
    <w:rsid w:val="00F711B7"/>
    <w:rsid w:val="00F73332"/>
    <w:rsid w:val="00F734B3"/>
    <w:rsid w:val="00F73C0A"/>
    <w:rsid w:val="00F73D8E"/>
    <w:rsid w:val="00F74B60"/>
    <w:rsid w:val="00F74BBF"/>
    <w:rsid w:val="00F77985"/>
    <w:rsid w:val="00F77EB0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901"/>
    <w:rsid w:val="00FA4E7F"/>
    <w:rsid w:val="00FA5848"/>
    <w:rsid w:val="00FA6899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E90"/>
    <w:rsid w:val="00FC051F"/>
    <w:rsid w:val="00FC05C1"/>
    <w:rsid w:val="00FC06FF"/>
    <w:rsid w:val="00FC1112"/>
    <w:rsid w:val="00FC169F"/>
    <w:rsid w:val="00FC2A0F"/>
    <w:rsid w:val="00FC3CB1"/>
    <w:rsid w:val="00FC45F4"/>
    <w:rsid w:val="00FC6157"/>
    <w:rsid w:val="00FC640F"/>
    <w:rsid w:val="00FC6809"/>
    <w:rsid w:val="00FC69B4"/>
    <w:rsid w:val="00FD0694"/>
    <w:rsid w:val="00FD0A09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6407"/>
    <w:rsid w:val="00FD713E"/>
    <w:rsid w:val="00FD7290"/>
    <w:rsid w:val="00FD771F"/>
    <w:rsid w:val="00FD7AA7"/>
    <w:rsid w:val="00FD7DEC"/>
    <w:rsid w:val="00FE013A"/>
    <w:rsid w:val="00FE087F"/>
    <w:rsid w:val="00FE3A75"/>
    <w:rsid w:val="00FE5254"/>
    <w:rsid w:val="00FE59BA"/>
    <w:rsid w:val="00FE5A5F"/>
    <w:rsid w:val="00FE5D53"/>
    <w:rsid w:val="00FE6026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3261624"/>
    <w:rsid w:val="04654DC4"/>
    <w:rsid w:val="04BA061C"/>
    <w:rsid w:val="051A35ED"/>
    <w:rsid w:val="05A604CB"/>
    <w:rsid w:val="068476B2"/>
    <w:rsid w:val="06B2258B"/>
    <w:rsid w:val="09AB58DD"/>
    <w:rsid w:val="0CF7298D"/>
    <w:rsid w:val="0E321257"/>
    <w:rsid w:val="1363315E"/>
    <w:rsid w:val="151D7DD5"/>
    <w:rsid w:val="152905E7"/>
    <w:rsid w:val="1553008A"/>
    <w:rsid w:val="1B124510"/>
    <w:rsid w:val="1B7E3A40"/>
    <w:rsid w:val="1C8C2DF7"/>
    <w:rsid w:val="1DF51AA4"/>
    <w:rsid w:val="211D46A3"/>
    <w:rsid w:val="22790D9D"/>
    <w:rsid w:val="24BA17CF"/>
    <w:rsid w:val="26682397"/>
    <w:rsid w:val="295377DC"/>
    <w:rsid w:val="2A8320CC"/>
    <w:rsid w:val="2BBA59CC"/>
    <w:rsid w:val="2BEF14BE"/>
    <w:rsid w:val="2FFF4F58"/>
    <w:rsid w:val="3038729A"/>
    <w:rsid w:val="304411E2"/>
    <w:rsid w:val="314A1AEA"/>
    <w:rsid w:val="38DC6293"/>
    <w:rsid w:val="3BB61D8D"/>
    <w:rsid w:val="3D23653B"/>
    <w:rsid w:val="3DC906F2"/>
    <w:rsid w:val="3F4F46BE"/>
    <w:rsid w:val="43295C4A"/>
    <w:rsid w:val="43936017"/>
    <w:rsid w:val="43FD5554"/>
    <w:rsid w:val="45A47AD6"/>
    <w:rsid w:val="479934B3"/>
    <w:rsid w:val="499A20B5"/>
    <w:rsid w:val="499F46D9"/>
    <w:rsid w:val="4B2C049D"/>
    <w:rsid w:val="4B8E4B84"/>
    <w:rsid w:val="4C5053C6"/>
    <w:rsid w:val="4CFA5C16"/>
    <w:rsid w:val="50C34151"/>
    <w:rsid w:val="57944A19"/>
    <w:rsid w:val="5A5752C7"/>
    <w:rsid w:val="5B3F52CD"/>
    <w:rsid w:val="5BBB710D"/>
    <w:rsid w:val="5BF062E2"/>
    <w:rsid w:val="5CD96421"/>
    <w:rsid w:val="5E1A0BFF"/>
    <w:rsid w:val="5EFC04E3"/>
    <w:rsid w:val="61CF03CC"/>
    <w:rsid w:val="63AC7512"/>
    <w:rsid w:val="63DC2E21"/>
    <w:rsid w:val="67693FB9"/>
    <w:rsid w:val="688F3898"/>
    <w:rsid w:val="69D306AC"/>
    <w:rsid w:val="6CC51C9E"/>
    <w:rsid w:val="6D0F33FD"/>
    <w:rsid w:val="72AB6BB1"/>
    <w:rsid w:val="73404FA2"/>
    <w:rsid w:val="75A63B56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" w:hAnsi="Times" w:eastAsia="Batang" w:cs="Times New Roman"/>
      <w:sz w:val="24"/>
      <w:szCs w:val="24"/>
      <w:lang w:val="en-US" w:eastAsia="zh-CN" w:bidi="ar-SA"/>
    </w:rPr>
  </w:style>
  <w:style w:type="paragraph" w:styleId="2">
    <w:name w:val="heading 1"/>
    <w:next w:val="1"/>
    <w:link w:val="10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3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6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7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8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9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9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0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9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2"/>
    <w:qFormat/>
    <w:uiPriority w:val="35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9"/>
    <w:qFormat/>
    <w:uiPriority w:val="99"/>
  </w:style>
  <w:style w:type="paragraph" w:styleId="31">
    <w:name w:val="Body Text"/>
    <w:basedOn w:val="1"/>
    <w:link w:val="124"/>
    <w:qFormat/>
    <w:uiPriority w:val="0"/>
  </w:style>
  <w:style w:type="paragraph" w:styleId="32">
    <w:name w:val="Plain Text"/>
    <w:basedOn w:val="1"/>
    <w:link w:val="128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2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2"/>
    <w:qFormat/>
    <w:uiPriority w:val="99"/>
    <w:rPr>
      <w:sz w:val="18"/>
      <w:szCs w:val="18"/>
    </w:rPr>
  </w:style>
  <w:style w:type="paragraph" w:styleId="38">
    <w:name w:val="footer"/>
    <w:basedOn w:val="39"/>
    <w:link w:val="134"/>
    <w:qFormat/>
    <w:uiPriority w:val="0"/>
    <w:pPr>
      <w:jc w:val="center"/>
    </w:pPr>
    <w:rPr>
      <w:i/>
    </w:rPr>
  </w:style>
  <w:style w:type="paragraph" w:styleId="39">
    <w:name w:val="header"/>
    <w:link w:val="10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5"/>
    <w:semiHidden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</w:rPr>
  </w:style>
  <w:style w:type="paragraph" w:styleId="46">
    <w:name w:val="index 1"/>
    <w:basedOn w:val="1"/>
    <w:next w:val="1"/>
    <w:semiHidden/>
    <w:qFormat/>
    <w:uiPriority w:val="0"/>
    <w:pPr>
      <w:keepLines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30"/>
    <w:qFormat/>
    <w:uiPriority w:val="0"/>
    <w:rPr>
      <w:b/>
      <w:bCs/>
    </w:rPr>
  </w:style>
  <w:style w:type="table" w:styleId="50">
    <w:name w:val="Table Grid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basedOn w:val="51"/>
    <w:qFormat/>
    <w:uiPriority w:val="22"/>
    <w:rPr>
      <w:b/>
      <w:bCs/>
    </w:rPr>
  </w:style>
  <w:style w:type="character" w:styleId="53">
    <w:name w:val="endnote reference"/>
    <w:qFormat/>
    <w:uiPriority w:val="0"/>
    <w:rPr>
      <w:vertAlign w:val="superscript"/>
    </w:rPr>
  </w:style>
  <w:style w:type="character" w:styleId="54">
    <w:name w:val="FollowedHyperlink"/>
    <w:qFormat/>
    <w:uiPriority w:val="0"/>
    <w:rPr>
      <w:color w:val="800080"/>
      <w:u w:val="single"/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Hyperlink"/>
    <w:qFormat/>
    <w:uiPriority w:val="99"/>
    <w:rPr>
      <w:color w:val="0000FF"/>
      <w:u w:val="single"/>
    </w:rPr>
  </w:style>
  <w:style w:type="character" w:styleId="57">
    <w:name w:val="annotation reference"/>
    <w:semiHidden/>
    <w:qFormat/>
    <w:uiPriority w:val="0"/>
    <w:rPr>
      <w:sz w:val="16"/>
    </w:rPr>
  </w:style>
  <w:style w:type="character" w:styleId="58">
    <w:name w:val="footnote reference"/>
    <w:semiHidden/>
    <w:qFormat/>
    <w:uiPriority w:val="0"/>
    <w:rPr>
      <w:b/>
      <w:position w:val="6"/>
      <w:sz w:val="16"/>
    </w:rPr>
  </w:style>
  <w:style w:type="paragraph" w:customStyle="1" w:styleId="59">
    <w:name w:val="EQ"/>
    <w:basedOn w:val="1"/>
    <w:next w:val="1"/>
    <w:link w:val="15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qFormat/>
    <w:uiPriority w:val="0"/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NF"/>
    <w:basedOn w:val="64"/>
    <w:qFormat/>
    <w:uiPriority w:val="0"/>
    <w:pPr>
      <w:keepNext/>
    </w:pPr>
    <w:rPr>
      <w:rFonts w:ascii="Arial" w:hAnsi="Arial"/>
      <w:sz w:val="18"/>
    </w:rPr>
  </w:style>
  <w:style w:type="paragraph" w:customStyle="1" w:styleId="64">
    <w:name w:val="NO"/>
    <w:basedOn w:val="1"/>
    <w:link w:val="104"/>
    <w:qFormat/>
    <w:uiPriority w:val="0"/>
    <w:pPr>
      <w:keepLines/>
      <w:ind w:left="1135" w:hanging="851"/>
    </w:pPr>
    <w:rPr>
      <w:lang w:val="zh-CN"/>
    </w:rPr>
  </w:style>
  <w:style w:type="paragraph" w:customStyle="1" w:styleId="6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101"/>
    <w:qFormat/>
    <w:uiPriority w:val="0"/>
    <w:pPr>
      <w:keepNext/>
      <w:keepLines/>
    </w:pPr>
    <w:rPr>
      <w:rFonts w:ascii="Arial" w:hAnsi="Arial"/>
      <w:sz w:val="18"/>
      <w:lang w:val="zh-CN"/>
    </w:rPr>
  </w:style>
  <w:style w:type="paragraph" w:customStyle="1" w:styleId="68">
    <w:name w:val="TAH"/>
    <w:basedOn w:val="69"/>
    <w:link w:val="103"/>
    <w:qFormat/>
    <w:uiPriority w:val="0"/>
    <w:rPr>
      <w:b/>
    </w:rPr>
  </w:style>
  <w:style w:type="paragraph" w:customStyle="1" w:styleId="69">
    <w:name w:val="TAC"/>
    <w:basedOn w:val="67"/>
    <w:link w:val="113"/>
    <w:qFormat/>
    <w:uiPriority w:val="0"/>
    <w:pPr>
      <w:jc w:val="center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1">
    <w:name w:val="EX"/>
    <w:basedOn w:val="1"/>
    <w:qFormat/>
    <w:uiPriority w:val="0"/>
    <w:pPr>
      <w:keepLines/>
      <w:ind w:left="1702" w:hanging="1418"/>
    </w:pPr>
  </w:style>
  <w:style w:type="paragraph" w:customStyle="1" w:styleId="72">
    <w:name w:val="FP"/>
    <w:basedOn w:val="1"/>
    <w:qFormat/>
    <w:uiPriority w:val="0"/>
  </w:style>
  <w:style w:type="paragraph" w:customStyle="1" w:styleId="73">
    <w:name w:val="NW"/>
    <w:basedOn w:val="64"/>
    <w:qFormat/>
    <w:uiPriority w:val="0"/>
  </w:style>
  <w:style w:type="paragraph" w:customStyle="1" w:styleId="74">
    <w:name w:val="EW"/>
    <w:basedOn w:val="71"/>
    <w:qFormat/>
    <w:uiPriority w:val="0"/>
  </w:style>
  <w:style w:type="paragraph" w:customStyle="1" w:styleId="75">
    <w:name w:val="B1"/>
    <w:basedOn w:val="14"/>
    <w:link w:val="121"/>
    <w:qFormat/>
    <w:uiPriority w:val="0"/>
  </w:style>
  <w:style w:type="paragraph" w:customStyle="1" w:styleId="76">
    <w:name w:val="Editor's Note"/>
    <w:basedOn w:val="64"/>
    <w:qFormat/>
    <w:uiPriority w:val="0"/>
    <w:rPr>
      <w:color w:val="FF0000"/>
    </w:rPr>
  </w:style>
  <w:style w:type="paragraph" w:customStyle="1" w:styleId="77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AN"/>
    <w:basedOn w:val="67"/>
    <w:link w:val="115"/>
    <w:qFormat/>
    <w:uiPriority w:val="0"/>
    <w:pPr>
      <w:ind w:left="851" w:hanging="851"/>
    </w:p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F"/>
    <w:basedOn w:val="77"/>
    <w:qFormat/>
    <w:uiPriority w:val="0"/>
    <w:pPr>
      <w:keepNext w:val="0"/>
      <w:spacing w:before="0" w:after="240"/>
    </w:p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6">
    <w:name w:val="B2"/>
    <w:basedOn w:val="13"/>
    <w:link w:val="154"/>
    <w:qFormat/>
    <w:uiPriority w:val="0"/>
  </w:style>
  <w:style w:type="paragraph" w:customStyle="1" w:styleId="87">
    <w:name w:val="B3"/>
    <w:basedOn w:val="12"/>
    <w:link w:val="156"/>
    <w:qFormat/>
    <w:uiPriority w:val="0"/>
  </w:style>
  <w:style w:type="paragraph" w:customStyle="1" w:styleId="88">
    <w:name w:val="B4"/>
    <w:basedOn w:val="43"/>
    <w:qFormat/>
    <w:uiPriority w:val="0"/>
  </w:style>
  <w:style w:type="paragraph" w:customStyle="1" w:styleId="89">
    <w:name w:val="B5"/>
    <w:basedOn w:val="42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81"/>
    <w:qFormat/>
    <w:uiPriority w:val="0"/>
    <w:pPr>
      <w:framePr w:y="16161"/>
    </w:pPr>
  </w:style>
  <w:style w:type="paragraph" w:customStyle="1" w:styleId="92">
    <w:name w:val="INDENT1"/>
    <w:basedOn w:val="1"/>
    <w:qFormat/>
    <w:uiPriority w:val="0"/>
    <w:pPr>
      <w:ind w:left="851"/>
    </w:pPr>
  </w:style>
  <w:style w:type="paragraph" w:customStyle="1" w:styleId="93">
    <w:name w:val="INDENT2"/>
    <w:basedOn w:val="1"/>
    <w:qFormat/>
    <w:uiPriority w:val="0"/>
    <w:pPr>
      <w:ind w:left="1135" w:hanging="284"/>
    </w:pPr>
  </w:style>
  <w:style w:type="paragraph" w:customStyle="1" w:styleId="94">
    <w:name w:val="INDENT3"/>
    <w:basedOn w:val="1"/>
    <w:qFormat/>
    <w:uiPriority w:val="0"/>
    <w:pPr>
      <w:ind w:left="1701" w:hanging="567"/>
    </w:pPr>
  </w:style>
  <w:style w:type="paragraph" w:customStyle="1" w:styleId="9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96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9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99">
    <w:name w:val="TAJ"/>
    <w:basedOn w:val="77"/>
    <w:qFormat/>
    <w:uiPriority w:val="0"/>
  </w:style>
  <w:style w:type="paragraph" w:customStyle="1" w:styleId="100">
    <w:name w:val="Guidance"/>
    <w:basedOn w:val="1"/>
    <w:link w:val="106"/>
    <w:qFormat/>
    <w:uiPriority w:val="0"/>
    <w:rPr>
      <w:i/>
      <w:color w:val="0000FF"/>
      <w:lang w:val="zh-CN"/>
    </w:rPr>
  </w:style>
  <w:style w:type="character" w:customStyle="1" w:styleId="101">
    <w:name w:val="TAL Char"/>
    <w:link w:val="67"/>
    <w:qFormat/>
    <w:uiPriority w:val="0"/>
    <w:rPr>
      <w:rFonts w:ascii="Arial" w:hAnsi="Arial"/>
      <w:sz w:val="18"/>
      <w:lang w:eastAsia="en-US"/>
    </w:rPr>
  </w:style>
  <w:style w:type="character" w:customStyle="1" w:styleId="102">
    <w:name w:val="TH Char"/>
    <w:link w:val="77"/>
    <w:qFormat/>
    <w:uiPriority w:val="0"/>
    <w:rPr>
      <w:rFonts w:ascii="Arial" w:hAnsi="Arial"/>
      <w:b/>
      <w:lang w:eastAsia="en-US"/>
    </w:rPr>
  </w:style>
  <w:style w:type="character" w:customStyle="1" w:styleId="103">
    <w:name w:val="TAH Car"/>
    <w:link w:val="68"/>
    <w:qFormat/>
    <w:uiPriority w:val="0"/>
    <w:rPr>
      <w:rFonts w:ascii="Arial" w:hAnsi="Arial"/>
      <w:b/>
      <w:sz w:val="18"/>
      <w:lang w:eastAsia="en-US"/>
    </w:rPr>
  </w:style>
  <w:style w:type="character" w:customStyle="1" w:styleId="104">
    <w:name w:val="NO Char"/>
    <w:link w:val="64"/>
    <w:qFormat/>
    <w:uiPriority w:val="0"/>
    <w:rPr>
      <w:lang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28"/>
      <w:szCs w:val="18"/>
      <w:lang w:val="sv-SE"/>
    </w:rPr>
  </w:style>
  <w:style w:type="character" w:customStyle="1" w:styleId="106">
    <w:name w:val="Guidance Char"/>
    <w:link w:val="100"/>
    <w:qFormat/>
    <w:uiPriority w:val="0"/>
    <w:rPr>
      <w:i/>
      <w:color w:val="0000FF"/>
      <w:lang w:eastAsia="en-US"/>
    </w:rPr>
  </w:style>
  <w:style w:type="character" w:customStyle="1" w:styleId="107">
    <w:name w:val="Heading 1 Char"/>
    <w:link w:val="2"/>
    <w:qFormat/>
    <w:uiPriority w:val="0"/>
    <w:rPr>
      <w:rFonts w:ascii="Arial" w:hAnsi="Arial"/>
      <w:sz w:val="36"/>
      <w:lang w:val="sv-SE" w:eastAsia="en-US"/>
    </w:rPr>
  </w:style>
  <w:style w:type="character" w:customStyle="1" w:styleId="108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9">
    <w:name w:val="Comment Text Char"/>
    <w:link w:val="30"/>
    <w:qFormat/>
    <w:uiPriority w:val="99"/>
    <w:rPr>
      <w:lang w:val="en-GB" w:eastAsia="en-US"/>
    </w:rPr>
  </w:style>
  <w:style w:type="character" w:customStyle="1" w:styleId="110">
    <w:name w:val="批注主题 Char"/>
    <w:basedOn w:val="109"/>
    <w:qFormat/>
    <w:uiPriority w:val="0"/>
    <w:rPr>
      <w:lang w:val="en-GB" w:eastAsia="en-US"/>
    </w:rPr>
  </w:style>
  <w:style w:type="paragraph" w:customStyle="1" w:styleId="111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2">
    <w:name w:val="Balloon Text Char"/>
    <w:link w:val="37"/>
    <w:qFormat/>
    <w:uiPriority w:val="99"/>
    <w:rPr>
      <w:sz w:val="18"/>
      <w:szCs w:val="18"/>
      <w:lang w:val="en-GB" w:eastAsia="en-US"/>
    </w:rPr>
  </w:style>
  <w:style w:type="character" w:customStyle="1" w:styleId="113">
    <w:name w:val="TAC Char"/>
    <w:link w:val="69"/>
    <w:qFormat/>
    <w:uiPriority w:val="0"/>
    <w:rPr>
      <w:rFonts w:ascii="Arial" w:hAnsi="Arial"/>
      <w:sz w:val="18"/>
      <w:lang w:val="zh-CN"/>
    </w:rPr>
  </w:style>
  <w:style w:type="paragraph" w:customStyle="1" w:styleId="11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5">
    <w:name w:val="TAN Char"/>
    <w:link w:val="82"/>
    <w:qFormat/>
    <w:uiPriority w:val="0"/>
    <w:rPr>
      <w:rFonts w:ascii="Arial" w:hAnsi="Arial"/>
      <w:sz w:val="18"/>
      <w:lang w:val="zh-CN"/>
    </w:rPr>
  </w:style>
  <w:style w:type="paragraph" w:customStyle="1" w:styleId="11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7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8">
    <w:name w:val="CR Cover Page"/>
    <w:link w:val="12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9">
    <w:name w:val="Heading 8 Char"/>
    <w:link w:val="10"/>
    <w:qFormat/>
    <w:uiPriority w:val="0"/>
    <w:rPr>
      <w:rFonts w:ascii="Arial" w:hAnsi="Arial"/>
      <w:sz w:val="36"/>
      <w:lang w:val="sv-SE" w:eastAsia="en-US"/>
    </w:rPr>
  </w:style>
  <w:style w:type="character" w:customStyle="1" w:styleId="120">
    <w:name w:val="CR Cover Page Char"/>
    <w:link w:val="118"/>
    <w:qFormat/>
    <w:uiPriority w:val="0"/>
    <w:rPr>
      <w:rFonts w:ascii="Arial" w:hAnsi="Arial"/>
      <w:lang w:val="en-GB"/>
    </w:rPr>
  </w:style>
  <w:style w:type="character" w:customStyle="1" w:styleId="121">
    <w:name w:val="B1 Char"/>
    <w:link w:val="75"/>
    <w:qFormat/>
    <w:uiPriority w:val="0"/>
    <w:rPr>
      <w:lang w:val="en-GB"/>
    </w:rPr>
  </w:style>
  <w:style w:type="character" w:customStyle="1" w:styleId="122">
    <w:name w:val="Caption Char"/>
    <w:link w:val="28"/>
    <w:qFormat/>
    <w:uiPriority w:val="0"/>
    <w:rPr>
      <w:b/>
      <w:lang w:val="en-GB"/>
    </w:rPr>
  </w:style>
  <w:style w:type="character" w:customStyle="1" w:styleId="123">
    <w:name w:val="Heading 3 Char"/>
    <w:link w:val="4"/>
    <w:qFormat/>
    <w:uiPriority w:val="9"/>
    <w:rPr>
      <w:rFonts w:ascii="Arial" w:hAnsi="Arial"/>
      <w:sz w:val="28"/>
      <w:szCs w:val="18"/>
      <w:lang w:val="sv-SE"/>
    </w:rPr>
  </w:style>
  <w:style w:type="character" w:customStyle="1" w:styleId="124">
    <w:name w:val="Body Text Char"/>
    <w:link w:val="31"/>
    <w:qFormat/>
    <w:uiPriority w:val="0"/>
    <w:rPr>
      <w:lang w:val="en-GB"/>
    </w:rPr>
  </w:style>
  <w:style w:type="paragraph" w:customStyle="1" w:styleId="125">
    <w:name w:val="3GPP Normal Text"/>
    <w:basedOn w:val="31"/>
    <w:link w:val="126"/>
    <w:qFormat/>
    <w:uiPriority w:val="0"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126">
    <w:name w:val="3GPP Normal Text Char"/>
    <w:link w:val="125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7">
    <w:name w:val="Caption Char1"/>
    <w:qFormat/>
    <w:uiPriority w:val="35"/>
    <w:rPr>
      <w:rFonts w:eastAsia="Times New Roman"/>
      <w:b/>
      <w:lang w:val="en-GB" w:eastAsia="en-US"/>
    </w:rPr>
  </w:style>
  <w:style w:type="character" w:customStyle="1" w:styleId="128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0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1">
    <w:name w:val="Subtle Reference1"/>
    <w:qFormat/>
    <w:uiPriority w:val="31"/>
    <w:rPr>
      <w:smallCaps/>
      <w:color w:val="C0504D"/>
      <w:u w:val="single"/>
    </w:rPr>
  </w:style>
  <w:style w:type="paragraph" w:customStyle="1" w:styleId="132">
    <w:name w:val="样式 页眉"/>
    <w:basedOn w:val="39"/>
    <w:link w:val="1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3">
    <w:name w:val="样式 页眉 Char"/>
    <w:link w:val="1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4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5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6">
    <w:name w:val="Heading 4 Char"/>
    <w:basedOn w:val="51"/>
    <w:link w:val="5"/>
    <w:qFormat/>
    <w:uiPriority w:val="0"/>
    <w:rPr>
      <w:rFonts w:ascii="Arial" w:hAnsi="Arial"/>
      <w:sz w:val="24"/>
      <w:szCs w:val="18"/>
      <w:lang w:val="sv-SE"/>
    </w:rPr>
  </w:style>
  <w:style w:type="character" w:customStyle="1" w:styleId="137">
    <w:name w:val="Heading 5 Char"/>
    <w:basedOn w:val="51"/>
    <w:link w:val="6"/>
    <w:qFormat/>
    <w:uiPriority w:val="0"/>
    <w:rPr>
      <w:rFonts w:ascii="Arial" w:hAnsi="Arial"/>
      <w:sz w:val="22"/>
      <w:szCs w:val="18"/>
      <w:lang w:val="sv-SE"/>
    </w:rPr>
  </w:style>
  <w:style w:type="character" w:customStyle="1" w:styleId="138">
    <w:name w:val="Heading 6 Char"/>
    <w:basedOn w:val="51"/>
    <w:link w:val="7"/>
    <w:qFormat/>
    <w:uiPriority w:val="0"/>
    <w:rPr>
      <w:rFonts w:ascii="Arial" w:hAnsi="Arial"/>
      <w:szCs w:val="18"/>
      <w:lang w:val="sv-SE"/>
    </w:rPr>
  </w:style>
  <w:style w:type="character" w:customStyle="1" w:styleId="139">
    <w:name w:val="Heading 7 Char"/>
    <w:basedOn w:val="51"/>
    <w:link w:val="9"/>
    <w:qFormat/>
    <w:uiPriority w:val="0"/>
    <w:rPr>
      <w:rFonts w:ascii="Arial" w:hAnsi="Arial"/>
      <w:szCs w:val="18"/>
      <w:lang w:val="sv-SE"/>
    </w:rPr>
  </w:style>
  <w:style w:type="character" w:customStyle="1" w:styleId="140">
    <w:name w:val="Heading 9 Char"/>
    <w:basedOn w:val="51"/>
    <w:link w:val="11"/>
    <w:qFormat/>
    <w:uiPriority w:val="0"/>
    <w:rPr>
      <w:rFonts w:ascii="Arial" w:hAnsi="Arial"/>
      <w:sz w:val="36"/>
      <w:lang w:val="sv-SE" w:eastAsia="en-US"/>
    </w:rPr>
  </w:style>
  <w:style w:type="paragraph" w:customStyle="1" w:styleId="141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2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3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4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5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6">
    <w:name w:val="tah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paragraph" w:customStyle="1" w:styleId="147">
    <w:name w:val="tal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character" w:customStyle="1" w:styleId="14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9">
    <w:name w:val="H6 Char"/>
    <w:link w:val="8"/>
    <w:qFormat/>
    <w:uiPriority w:val="0"/>
    <w:rPr>
      <w:rFonts w:ascii="Arial" w:hAnsi="Arial"/>
      <w:lang w:eastAsia="en-US"/>
    </w:rPr>
  </w:style>
  <w:style w:type="paragraph" w:styleId="150">
    <w:name w:val="List Paragraph"/>
    <w:basedOn w:val="1"/>
    <w:link w:val="153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1">
    <w:name w:val="EQ Char"/>
    <w:link w:val="59"/>
    <w:qFormat/>
    <w:locked/>
    <w:uiPriority w:val="0"/>
    <w:rPr>
      <w:lang w:val="en-GB" w:eastAsia="en-US"/>
    </w:rPr>
  </w:style>
  <w:style w:type="character" w:customStyle="1" w:styleId="152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3">
    <w:name w:val="List Paragraph Char"/>
    <w:link w:val="150"/>
    <w:qFormat/>
    <w:locked/>
    <w:uiPriority w:val="34"/>
    <w:rPr>
      <w:rFonts w:eastAsia="MS Mincho"/>
      <w:lang w:val="en-GB" w:eastAsia="en-US"/>
    </w:rPr>
  </w:style>
  <w:style w:type="character" w:customStyle="1" w:styleId="154">
    <w:name w:val="B2 Char"/>
    <w:link w:val="86"/>
    <w:qFormat/>
    <w:uiPriority w:val="0"/>
    <w:rPr>
      <w:lang w:val="en-GB" w:eastAsia="en-US"/>
    </w:rPr>
  </w:style>
  <w:style w:type="paragraph" w:customStyle="1" w:styleId="155">
    <w:name w:val="Revision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6">
    <w:name w:val="B3 Char"/>
    <w:link w:val="87"/>
    <w:qFormat/>
    <w:locked/>
    <w:uiPriority w:val="0"/>
    <w:rPr>
      <w:rFonts w:eastAsia="Times New Roman"/>
      <w:sz w:val="24"/>
      <w:szCs w:val="24"/>
    </w:rPr>
  </w:style>
  <w:style w:type="paragraph" w:customStyle="1" w:styleId="157">
    <w:name w:val="样式3"/>
    <w:basedOn w:val="150"/>
    <w:qFormat/>
    <w:uiPriority w:val="0"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宋体"/>
      <w:kern w:val="2"/>
      <w:sz w:val="20"/>
      <w:lang w:val="en-GB"/>
    </w:rPr>
  </w:style>
  <w:style w:type="character" w:customStyle="1" w:styleId="158">
    <w:name w:val="B1 Zchn"/>
    <w:qFormat/>
    <w:uiPriority w:val="0"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159">
    <w:name w:val="Unresolved Mention2"/>
    <w:basedOn w:val="5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60">
    <w:name w:val="Table Grid5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1">
    <w:name w:val="ui-provider"/>
    <w:basedOn w:val="51"/>
    <w:qFormat/>
    <w:uiPriority w:val="0"/>
  </w:style>
  <w:style w:type="paragraph" w:customStyle="1" w:styleId="162">
    <w:name w:val="RAN4 proposal"/>
    <w:basedOn w:val="28"/>
    <w:next w:val="1"/>
    <w:link w:val="163"/>
    <w:qFormat/>
    <w:uiPriority w:val="0"/>
    <w:pPr>
      <w:numPr>
        <w:ilvl w:val="0"/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163">
    <w:name w:val="RAN4 proposal Char"/>
    <w:basedOn w:val="122"/>
    <w:link w:val="162"/>
    <w:qFormat/>
    <w:uiPriority w:val="0"/>
    <w:rPr>
      <w:rFonts w:eastAsiaTheme="minorEastAsia" w:cstheme="minorBidi"/>
      <w:iCs/>
      <w:szCs w:val="18"/>
      <w:lang w:val="en-GB" w:eastAsia="en-US"/>
    </w:rPr>
  </w:style>
  <w:style w:type="paragraph" w:customStyle="1" w:styleId="164">
    <w:name w:val="Revision3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65">
    <w:name w:val="Revision4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66">
    <w:name w:val="Unresolved Mention3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7">
    <w:name w:val="Revision5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styleId="168">
    <w:name w:val="Quote"/>
    <w:basedOn w:val="1"/>
    <w:next w:val="1"/>
    <w:link w:val="169"/>
    <w:qFormat/>
    <w:uiPriority w:val="29"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character" w:customStyle="1" w:styleId="169">
    <w:name w:val="Quote Char"/>
    <w:basedOn w:val="51"/>
    <w:link w:val="168"/>
    <w:qFormat/>
    <w:uiPriority w:val="29"/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  <w:style w:type="paragraph" w:customStyle="1" w:styleId="171">
    <w:name w:val="RAN4 Observation"/>
    <w:basedOn w:val="150"/>
    <w:next w:val="1"/>
    <w:link w:val="172"/>
    <w:qFormat/>
    <w:uiPriority w:val="0"/>
    <w:pPr>
      <w:numPr>
        <w:ilvl w:val="0"/>
        <w:numId w:val="3"/>
      </w:numPr>
      <w:overflowPunct/>
      <w:autoSpaceDE/>
      <w:autoSpaceDN/>
      <w:adjustRightInd/>
      <w:spacing w:after="160" w:line="259" w:lineRule="auto"/>
      <w:ind w:firstLine="0" w:firstLineChars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172">
    <w:name w:val="RAN4 Observation Char"/>
    <w:basedOn w:val="51"/>
    <w:link w:val="171"/>
    <w:qFormat/>
    <w:uiPriority w:val="0"/>
    <w:rPr>
      <w:rFonts w:eastAsia="Calibri"/>
      <w:lang w:val="en-GB" w:eastAsia="en-US"/>
    </w:rPr>
  </w:style>
  <w:style w:type="paragraph" w:customStyle="1" w:styleId="173">
    <w:name w:val="修订1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74">
    <w:name w:val="Unresolved Mention4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5">
    <w:name w:val="Revision6"/>
    <w:hidden/>
    <w:semiHidden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76">
    <w:name w:val="Unresolved Mention5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7">
    <w:name w:val="Agreement"/>
    <w:basedOn w:val="1"/>
    <w:next w:val="1"/>
    <w:qFormat/>
    <w:uiPriority w:val="99"/>
    <w:pPr>
      <w:numPr>
        <w:ilvl w:val="0"/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178">
    <w:name w:val="apple-converted-space"/>
    <w:basedOn w:val="51"/>
    <w:qFormat/>
    <w:uiPriority w:val="0"/>
  </w:style>
  <w:style w:type="paragraph" w:customStyle="1" w:styleId="179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0"/>
      <w:szCs w:val="20"/>
      <w:lang w:eastAsia="en-US"/>
    </w:rPr>
  </w:style>
  <w:style w:type="paragraph" w:customStyle="1" w:styleId="180">
    <w:name w:val="Revision7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81">
    <w:name w:val="Revision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82">
    <w:name w:val="Unresolved Mention"/>
    <w:basedOn w:val="5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3">
    <w:name w:val="15"/>
    <w:basedOn w:val="51"/>
    <w:qFormat/>
    <w:uiPriority w:val="0"/>
    <w:rPr>
      <w:rFonts w:hint="default" w:ascii="CG Times (WN)" w:hAnsi="CG Times (WN)"/>
      <w:color w:val="0000FF"/>
      <w:u w:val="single"/>
    </w:rPr>
  </w:style>
  <w:style w:type="character" w:customStyle="1" w:styleId="184">
    <w:name w:val="16"/>
    <w:basedOn w:val="51"/>
    <w:qFormat/>
    <w:uiPriority w:val="0"/>
    <w:rPr>
      <w:rFonts w:hint="default" w:ascii="CG Times (WN)" w:hAnsi="CG Times (WN)"/>
      <w:color w:val="0000FF"/>
      <w:u w:val="single"/>
    </w:rPr>
  </w:style>
  <w:style w:type="paragraph" w:customStyle="1" w:styleId="185">
    <w:name w:val="Proposal"/>
    <w:basedOn w:val="1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ascii="Times New Roman" w:hAnsi="Times New Roman" w:eastAsia="Times New Roman"/>
      <w:b/>
      <w:bCs/>
    </w:rPr>
  </w:style>
  <w:style w:type="paragraph" w:customStyle="1" w:styleId="186">
    <w:name w:val="Doc-title"/>
    <w:basedOn w:val="1"/>
    <w:next w:val="1"/>
    <w:link w:val="187"/>
    <w:qFormat/>
    <w:uiPriority w:val="0"/>
    <w:pPr>
      <w:spacing w:before="60"/>
      <w:ind w:left="1259" w:hanging="1259"/>
    </w:pPr>
    <w:rPr>
      <w:rFonts w:ascii="Arial" w:hAnsi="Arial" w:eastAsia="MS Mincho"/>
      <w:sz w:val="20"/>
      <w:lang w:val="en-GB" w:eastAsia="en-GB"/>
    </w:rPr>
  </w:style>
  <w:style w:type="character" w:customStyle="1" w:styleId="187">
    <w:name w:val="Doc-title Char"/>
    <w:link w:val="18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88">
    <w:name w:val="Doc-text2"/>
    <w:basedOn w:val="1"/>
    <w:link w:val="189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character" w:customStyle="1" w:styleId="189">
    <w:name w:val="Doc-text2 Char"/>
    <w:link w:val="188"/>
    <w:qFormat/>
    <w:uiPriority w:val="0"/>
    <w:rPr>
      <w:rFonts w:ascii="Arial" w:hAnsi="Arial" w:eastAsia="MS Mincho"/>
      <w:szCs w:val="24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RBI5PAMIO524-1616901215-59818</_dlc_DocId>
    <_dlc_DocIdUrl xmlns="71c5aaf6-e6ce-465b-b873-5148d2a4c105">
      <Url>https://nokia.sharepoint.com/sites/gxp/_layouts/15/DocIdRedir.aspx?ID=RBI5PAMIO524-1616901215-59818</Url>
      <Description>RBI5PAMIO524-1616901215-59818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79CF10A-A081-4F59-9F09-0F90F3DFCFD8}">
  <ds:schemaRefs/>
</ds:datastoreItem>
</file>

<file path=customXml/itemProps2.xml><?xml version="1.0" encoding="utf-8"?>
<ds:datastoreItem xmlns:ds="http://schemas.openxmlformats.org/officeDocument/2006/customXml" ds:itemID="{9DF8DA1D-C528-4826-A640-B9CB7FF3FDC5}">
  <ds:schemaRefs/>
</ds:datastoreItem>
</file>

<file path=customXml/itemProps3.xml><?xml version="1.0" encoding="utf-8"?>
<ds:datastoreItem xmlns:ds="http://schemas.openxmlformats.org/officeDocument/2006/customXml" ds:itemID="{C071FADD-FB57-4B60-9101-C805D9A9645D}">
  <ds:schemaRefs/>
</ds:datastoreItem>
</file>

<file path=customXml/itemProps4.xml><?xml version="1.0" encoding="utf-8"?>
<ds:datastoreItem xmlns:ds="http://schemas.openxmlformats.org/officeDocument/2006/customXml" ds:itemID="{DCD35D55-6FAF-44B4-B2B7-8BB9709F5A08}">
  <ds:schemaRefs/>
</ds:datastoreItem>
</file>

<file path=customXml/itemProps5.xml><?xml version="1.0" encoding="utf-8"?>
<ds:datastoreItem xmlns:ds="http://schemas.openxmlformats.org/officeDocument/2006/customXml" ds:itemID="{87405570-9076-4F4C-87E3-5A3623A90E02}">
  <ds:schemaRefs/>
</ds:datastoreItem>
</file>

<file path=customXml/itemProps6.xml><?xml version="1.0" encoding="utf-8"?>
<ds:datastoreItem xmlns:ds="http://schemas.openxmlformats.org/officeDocument/2006/customXml" ds:itemID="{E78BE60A-4AB5-4DA0-A3C2-B9303CCD52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Company>Apple</Company>
  <Pages>11</Pages>
  <Words>2488</Words>
  <Characters>14183</Characters>
  <Lines>118</Lines>
  <Paragraphs>33</Paragraphs>
  <TotalTime>35</TotalTime>
  <ScaleCrop>false</ScaleCrop>
  <LinksUpToDate>false</LinksUpToDate>
  <CharactersWithSpaces>16638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2025-10-22T22:07:00Z</dcterms:created>
  <dc:creator>CMCC-Jingjing</dc:creator>
  <cp:lastModifiedBy>Jingjing_CMCC</cp:lastModifiedBy>
  <cp:lastPrinted>2019-04-25T01:09:00Z</cp:lastPrinted>
  <dcterms:modified xsi:type="dcterms:W3CDTF">2026-01-30T06:11:40Z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2052-12.1.0.23125</vt:lpwstr>
  </property>
  <property fmtid="{D5CDD505-2E9C-101B-9397-08002B2CF9AE}" pid="23" name="ICV">
    <vt:lpwstr>159E53E650F7418B8332AB5880617328_13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f255dfc6-2cd7-4269-8cf0-70c75657ccae</vt:lpwstr>
  </property>
  <property fmtid="{D5CDD505-2E9C-101B-9397-08002B2CF9AE}" pid="37" name="MediaServiceImageTags">
    <vt:lpwstr/>
  </property>
</Properties>
</file>